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9D82" w14:textId="77777777" w:rsidR="005B7ED6" w:rsidRDefault="005B7ED6"/>
    <w:p w14:paraId="38C15D04" w14:textId="77777777" w:rsidR="00537686" w:rsidRPr="00537686" w:rsidRDefault="00537686" w:rsidP="00537686"/>
    <w:p w14:paraId="6D1A45A8" w14:textId="77777777" w:rsidR="00537686" w:rsidRDefault="00537686" w:rsidP="00537686">
      <w:pPr>
        <w:tabs>
          <w:tab w:val="left" w:pos="3384"/>
        </w:tabs>
        <w:jc w:val="center"/>
        <w:rPr>
          <w:rFonts w:ascii="Arial Rounded MT Bold" w:hAnsi="Arial Rounded MT Bold"/>
          <w:color w:val="70AD47" w:themeColor="accent6"/>
          <w:sz w:val="40"/>
        </w:rPr>
      </w:pPr>
      <w:r w:rsidRPr="00537686">
        <w:rPr>
          <w:rFonts w:ascii="Arial Rounded MT Bold" w:hAnsi="Arial Rounded MT Bold"/>
          <w:color w:val="70AD47" w:themeColor="accent6"/>
          <w:sz w:val="40"/>
        </w:rPr>
        <w:t>Healthy Meath Micro Fund 202</w:t>
      </w:r>
      <w:r w:rsidR="009A4D13">
        <w:rPr>
          <w:rFonts w:ascii="Arial Rounded MT Bold" w:hAnsi="Arial Rounded MT Bold"/>
          <w:color w:val="70AD47" w:themeColor="accent6"/>
          <w:sz w:val="40"/>
        </w:rPr>
        <w:t>4</w:t>
      </w:r>
    </w:p>
    <w:p w14:paraId="23EF2AC1" w14:textId="77777777" w:rsidR="00537686" w:rsidRDefault="00537686" w:rsidP="00537686">
      <w:pPr>
        <w:tabs>
          <w:tab w:val="left" w:pos="3384"/>
        </w:tabs>
        <w:jc w:val="center"/>
        <w:rPr>
          <w:rFonts w:ascii="Arial Rounded MT Bold" w:hAnsi="Arial Rounded MT Bold"/>
          <w:color w:val="70AD47" w:themeColor="accent6"/>
          <w:sz w:val="40"/>
        </w:rPr>
      </w:pPr>
    </w:p>
    <w:p w14:paraId="2947F72C" w14:textId="77777777" w:rsidR="00537686" w:rsidRDefault="00694204" w:rsidP="00537686">
      <w:pPr>
        <w:tabs>
          <w:tab w:val="left" w:pos="3384"/>
        </w:tabs>
        <w:jc w:val="center"/>
        <w:rPr>
          <w:rFonts w:ascii="Arial Rounded MT Bold" w:hAnsi="Arial Rounded MT Bold"/>
          <w:color w:val="70AD47" w:themeColor="accent6"/>
          <w:sz w:val="40"/>
        </w:rPr>
      </w:pPr>
      <w:r>
        <w:rPr>
          <w:rFonts w:ascii="Arial Rounded MT Bold" w:hAnsi="Arial Rounded MT Bold"/>
          <w:noProof/>
          <w:color w:val="70AD47" w:themeColor="accent6"/>
          <w:sz w:val="40"/>
        </w:rPr>
        <w:drawing>
          <wp:inline distT="0" distB="0" distL="0" distR="0" wp14:anchorId="437C44C0" wp14:editId="11664BCD">
            <wp:extent cx="46863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photo.jpg"/>
                    <pic:cNvPicPr/>
                  </pic:nvPicPr>
                  <pic:blipFill>
                    <a:blip r:embed="rId7">
                      <a:extLst>
                        <a:ext uri="{28A0092B-C50C-407E-A947-70E740481C1C}">
                          <a14:useLocalDpi xmlns:a14="http://schemas.microsoft.com/office/drawing/2010/main" val="0"/>
                        </a:ext>
                      </a:extLst>
                    </a:blip>
                    <a:stretch>
                      <a:fillRect/>
                    </a:stretch>
                  </pic:blipFill>
                  <pic:spPr>
                    <a:xfrm>
                      <a:off x="0" y="0"/>
                      <a:ext cx="4686300" cy="1701800"/>
                    </a:xfrm>
                    <a:prstGeom prst="rect">
                      <a:avLst/>
                    </a:prstGeom>
                  </pic:spPr>
                </pic:pic>
              </a:graphicData>
            </a:graphic>
          </wp:inline>
        </w:drawing>
      </w:r>
    </w:p>
    <w:p w14:paraId="48E20A48" w14:textId="77777777" w:rsidR="00537686" w:rsidRDefault="00537686" w:rsidP="00537686">
      <w:pPr>
        <w:tabs>
          <w:tab w:val="left" w:pos="3384"/>
        </w:tabs>
        <w:jc w:val="center"/>
        <w:rPr>
          <w:rFonts w:ascii="Arial Rounded MT Bold" w:hAnsi="Arial Rounded MT Bold"/>
          <w:color w:val="70AD47" w:themeColor="accent6"/>
          <w:sz w:val="40"/>
        </w:rPr>
      </w:pPr>
    </w:p>
    <w:p w14:paraId="161BBFBE" w14:textId="3ADE429B" w:rsidR="00395942" w:rsidRDefault="00395942" w:rsidP="00537686">
      <w:pPr>
        <w:tabs>
          <w:tab w:val="left" w:pos="3384"/>
        </w:tabs>
        <w:jc w:val="center"/>
        <w:rPr>
          <w:rFonts w:ascii="Arial" w:hAnsi="Arial" w:cs="Arial"/>
          <w:sz w:val="32"/>
        </w:rPr>
      </w:pPr>
      <w:r>
        <w:rPr>
          <w:rFonts w:ascii="Arial" w:hAnsi="Arial" w:cs="Arial"/>
          <w:sz w:val="32"/>
        </w:rPr>
        <w:t xml:space="preserve">Apply at </w:t>
      </w:r>
      <w:hyperlink r:id="rId8" w:history="1">
        <w:r w:rsidRPr="00C910D9">
          <w:rPr>
            <w:rStyle w:val="Hyperlink"/>
            <w:rFonts w:ascii="Arial" w:hAnsi="Arial" w:cs="Arial"/>
            <w:sz w:val="32"/>
          </w:rPr>
          <w:t>https://submit.link/2zE</w:t>
        </w:r>
      </w:hyperlink>
      <w:r>
        <w:rPr>
          <w:rFonts w:ascii="Arial" w:hAnsi="Arial" w:cs="Arial"/>
          <w:sz w:val="32"/>
        </w:rPr>
        <w:t xml:space="preserve"> or by scanning the QR code below</w:t>
      </w:r>
    </w:p>
    <w:p w14:paraId="7BADFB7D" w14:textId="5C3A5DA5" w:rsidR="00395942" w:rsidRDefault="00395942" w:rsidP="00537686">
      <w:pPr>
        <w:tabs>
          <w:tab w:val="left" w:pos="3384"/>
        </w:tabs>
        <w:jc w:val="center"/>
        <w:rPr>
          <w:rFonts w:ascii="Arial" w:hAnsi="Arial" w:cs="Arial"/>
          <w:sz w:val="32"/>
        </w:rPr>
      </w:pPr>
      <w:r>
        <w:rPr>
          <w:noProof/>
        </w:rPr>
        <w:drawing>
          <wp:inline distT="0" distB="0" distL="0" distR="0" wp14:anchorId="098A6F26" wp14:editId="1FECD880">
            <wp:extent cx="952500" cy="952500"/>
            <wp:effectExtent l="0" t="0" r="0" b="0"/>
            <wp:docPr id="7" name="Picture 7" descr="https://api.qrserver.com/v1/create-qr-code/?size=100x100&amp;data=https://submit.link/2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100x100&amp;data=https://submit.link/2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10C8BC8" w14:textId="77777777" w:rsidR="00395942" w:rsidRDefault="00395942" w:rsidP="00537686">
      <w:pPr>
        <w:tabs>
          <w:tab w:val="left" w:pos="3384"/>
        </w:tabs>
        <w:jc w:val="center"/>
        <w:rPr>
          <w:rFonts w:ascii="Arial" w:hAnsi="Arial" w:cs="Arial"/>
          <w:sz w:val="32"/>
        </w:rPr>
      </w:pPr>
    </w:p>
    <w:p w14:paraId="19EDEC7A" w14:textId="4197A11C" w:rsidR="00537686" w:rsidRPr="00537686" w:rsidRDefault="00537686" w:rsidP="00537686">
      <w:pPr>
        <w:tabs>
          <w:tab w:val="left" w:pos="3384"/>
        </w:tabs>
        <w:jc w:val="center"/>
        <w:rPr>
          <w:rFonts w:ascii="Arial" w:hAnsi="Arial" w:cs="Arial"/>
          <w:sz w:val="32"/>
        </w:rPr>
      </w:pPr>
      <w:r w:rsidRPr="00537686">
        <w:rPr>
          <w:rFonts w:ascii="Arial" w:hAnsi="Arial" w:cs="Arial"/>
          <w:sz w:val="32"/>
        </w:rPr>
        <w:t xml:space="preserve">For more information contact the Healthy </w:t>
      </w:r>
      <w:r w:rsidR="00694204">
        <w:rPr>
          <w:rFonts w:ascii="Arial" w:hAnsi="Arial" w:cs="Arial"/>
          <w:sz w:val="32"/>
        </w:rPr>
        <w:t xml:space="preserve">Ireland </w:t>
      </w:r>
      <w:r w:rsidRPr="00537686">
        <w:rPr>
          <w:rFonts w:ascii="Arial" w:hAnsi="Arial" w:cs="Arial"/>
          <w:sz w:val="32"/>
        </w:rPr>
        <w:t>Coordinator</w:t>
      </w:r>
      <w:r w:rsidR="00694204">
        <w:rPr>
          <w:rFonts w:ascii="Arial" w:hAnsi="Arial" w:cs="Arial"/>
          <w:sz w:val="32"/>
        </w:rPr>
        <w:t xml:space="preserve"> for Meath</w:t>
      </w:r>
    </w:p>
    <w:p w14:paraId="5795D1B8" w14:textId="77777777" w:rsidR="00537686" w:rsidRPr="00537686" w:rsidRDefault="00455733" w:rsidP="00537686">
      <w:pPr>
        <w:tabs>
          <w:tab w:val="left" w:pos="3384"/>
        </w:tabs>
        <w:jc w:val="center"/>
        <w:rPr>
          <w:rFonts w:ascii="Arial" w:hAnsi="Arial" w:cs="Arial"/>
          <w:sz w:val="32"/>
          <w:szCs w:val="32"/>
        </w:rPr>
      </w:pPr>
      <w:hyperlink r:id="rId10" w:history="1">
        <w:r w:rsidR="00537686" w:rsidRPr="00537686">
          <w:rPr>
            <w:rStyle w:val="Hyperlink"/>
            <w:rFonts w:ascii="Arial" w:hAnsi="Arial" w:cs="Arial"/>
            <w:sz w:val="32"/>
            <w:szCs w:val="32"/>
          </w:rPr>
          <w:t>healthymeath@meathcoco.ie</w:t>
        </w:r>
      </w:hyperlink>
      <w:r w:rsidR="00537686" w:rsidRPr="00537686">
        <w:rPr>
          <w:rFonts w:ascii="Arial" w:hAnsi="Arial" w:cs="Arial"/>
          <w:sz w:val="32"/>
          <w:szCs w:val="32"/>
        </w:rPr>
        <w:t xml:space="preserve"> or 0469097400</w:t>
      </w:r>
    </w:p>
    <w:p w14:paraId="299B7209" w14:textId="77777777" w:rsidR="00537686" w:rsidRPr="00537686" w:rsidRDefault="00537686" w:rsidP="00537686">
      <w:pPr>
        <w:tabs>
          <w:tab w:val="left" w:pos="3384"/>
        </w:tabs>
        <w:jc w:val="center"/>
        <w:rPr>
          <w:rFonts w:ascii="Arial" w:hAnsi="Arial" w:cs="Arial"/>
          <w:sz w:val="32"/>
          <w:szCs w:val="32"/>
        </w:rPr>
      </w:pPr>
    </w:p>
    <w:p w14:paraId="4B729637" w14:textId="0CA0231D" w:rsidR="00537686" w:rsidRDefault="00537686" w:rsidP="00537686">
      <w:pPr>
        <w:tabs>
          <w:tab w:val="left" w:pos="3384"/>
        </w:tabs>
        <w:jc w:val="center"/>
        <w:rPr>
          <w:rFonts w:ascii="Arial" w:hAnsi="Arial" w:cs="Arial"/>
          <w:sz w:val="32"/>
          <w:szCs w:val="32"/>
        </w:rPr>
      </w:pPr>
      <w:r w:rsidRPr="00701AA1">
        <w:rPr>
          <w:rFonts w:ascii="Arial" w:hAnsi="Arial" w:cs="Arial"/>
          <w:sz w:val="32"/>
          <w:szCs w:val="32"/>
        </w:rPr>
        <w:t xml:space="preserve">Closing Date </w:t>
      </w:r>
      <w:r w:rsidR="00701AA1" w:rsidRPr="00701AA1">
        <w:rPr>
          <w:rFonts w:ascii="Arial" w:hAnsi="Arial" w:cs="Arial"/>
          <w:sz w:val="32"/>
          <w:szCs w:val="32"/>
        </w:rPr>
        <w:t>7</w:t>
      </w:r>
      <w:r w:rsidR="00701AA1" w:rsidRPr="00701AA1">
        <w:rPr>
          <w:rFonts w:ascii="Arial" w:hAnsi="Arial" w:cs="Arial"/>
          <w:sz w:val="32"/>
          <w:szCs w:val="32"/>
          <w:vertAlign w:val="superscript"/>
        </w:rPr>
        <w:t>th</w:t>
      </w:r>
      <w:r w:rsidR="00701AA1" w:rsidRPr="00701AA1">
        <w:rPr>
          <w:rFonts w:ascii="Arial" w:hAnsi="Arial" w:cs="Arial"/>
          <w:sz w:val="32"/>
          <w:szCs w:val="32"/>
        </w:rPr>
        <w:t xml:space="preserve"> May 2024</w:t>
      </w:r>
      <w:r>
        <w:rPr>
          <w:rFonts w:ascii="Arial" w:hAnsi="Arial" w:cs="Arial"/>
          <w:sz w:val="32"/>
          <w:szCs w:val="32"/>
        </w:rPr>
        <w:t>.</w:t>
      </w:r>
    </w:p>
    <w:p w14:paraId="05F998BF" w14:textId="77777777" w:rsidR="008B001C" w:rsidRDefault="008B001C" w:rsidP="008B001C">
      <w:pPr>
        <w:jc w:val="center"/>
        <w:rPr>
          <w:rFonts w:ascii="Arial" w:hAnsi="Arial" w:cs="Arial"/>
          <w:i/>
          <w:sz w:val="28"/>
          <w:szCs w:val="32"/>
        </w:rPr>
      </w:pPr>
      <w:r w:rsidRPr="000D6A54">
        <w:rPr>
          <w:rFonts w:ascii="Arial" w:hAnsi="Arial" w:cs="Arial"/>
          <w:i/>
          <w:sz w:val="28"/>
          <w:szCs w:val="32"/>
        </w:rPr>
        <w:t xml:space="preserve">The Healthy Meath Micro Fund is supported by the Department of Health’s Healthy Ireland Fund. </w:t>
      </w:r>
    </w:p>
    <w:p w14:paraId="78CF5A7D" w14:textId="77777777" w:rsidR="000D6A54" w:rsidRDefault="000D6A54" w:rsidP="000D6A54">
      <w:pPr>
        <w:rPr>
          <w:rFonts w:ascii="Arial" w:hAnsi="Arial" w:cs="Arial"/>
          <w:sz w:val="32"/>
          <w:szCs w:val="32"/>
        </w:rPr>
      </w:pPr>
    </w:p>
    <w:p w14:paraId="45CF709C" w14:textId="77777777" w:rsidR="000D6A54" w:rsidRDefault="000D6A54">
      <w:pPr>
        <w:rPr>
          <w:rFonts w:ascii="Arial" w:hAnsi="Arial" w:cs="Arial"/>
          <w:sz w:val="28"/>
          <w:szCs w:val="32"/>
        </w:rPr>
      </w:pPr>
      <w:r>
        <w:rPr>
          <w:rFonts w:ascii="Arial" w:hAnsi="Arial" w:cs="Arial"/>
          <w:sz w:val="28"/>
          <w:szCs w:val="32"/>
        </w:rPr>
        <w:br w:type="page"/>
      </w:r>
    </w:p>
    <w:p w14:paraId="421FEC9C" w14:textId="77777777" w:rsidR="008B001C" w:rsidRDefault="008B001C" w:rsidP="000D6A54">
      <w:pPr>
        <w:pStyle w:val="Default"/>
        <w:rPr>
          <w:b/>
          <w:bCs/>
          <w:color w:val="92D050"/>
        </w:rPr>
      </w:pPr>
    </w:p>
    <w:p w14:paraId="5DC4F1A4" w14:textId="77777777" w:rsidR="000D6A54" w:rsidRPr="007A7CFC" w:rsidRDefault="000D6A54" w:rsidP="001331D6">
      <w:pPr>
        <w:pStyle w:val="Default"/>
        <w:spacing w:line="276" w:lineRule="auto"/>
        <w:jc w:val="both"/>
        <w:rPr>
          <w:b/>
          <w:bCs/>
          <w:color w:val="92D050"/>
        </w:rPr>
      </w:pPr>
      <w:r w:rsidRPr="007A7CFC">
        <w:rPr>
          <w:b/>
          <w:bCs/>
          <w:color w:val="92D050"/>
        </w:rPr>
        <w:t>About the Healthy Meath Micro Fund 2024</w:t>
      </w:r>
    </w:p>
    <w:p w14:paraId="6776F9AA" w14:textId="77777777" w:rsidR="000D6A54" w:rsidRPr="007A7CFC" w:rsidRDefault="000D6A54" w:rsidP="001331D6">
      <w:pPr>
        <w:pStyle w:val="Default"/>
        <w:spacing w:line="276" w:lineRule="auto"/>
        <w:jc w:val="both"/>
      </w:pPr>
      <w:r w:rsidRPr="007A7CFC">
        <w:rPr>
          <w:b/>
          <w:bCs/>
          <w:color w:val="92D050"/>
        </w:rPr>
        <w:t xml:space="preserve"> </w:t>
      </w:r>
    </w:p>
    <w:p w14:paraId="5A54EDD6" w14:textId="77777777" w:rsidR="000D6A54" w:rsidRPr="007A7CFC" w:rsidRDefault="000D6A54" w:rsidP="001331D6">
      <w:pPr>
        <w:spacing w:line="276" w:lineRule="auto"/>
        <w:jc w:val="both"/>
        <w:rPr>
          <w:rFonts w:ascii="Arial" w:hAnsi="Arial" w:cs="Arial"/>
          <w:sz w:val="24"/>
          <w:szCs w:val="24"/>
        </w:rPr>
      </w:pPr>
      <w:r w:rsidRPr="007A7CFC">
        <w:rPr>
          <w:rFonts w:ascii="Arial" w:hAnsi="Arial" w:cs="Arial"/>
          <w:sz w:val="24"/>
          <w:szCs w:val="24"/>
        </w:rPr>
        <w:t xml:space="preserve">The </w:t>
      </w:r>
      <w:r w:rsidRPr="007A7CFC">
        <w:rPr>
          <w:rFonts w:ascii="Arial" w:hAnsi="Arial" w:cs="Arial"/>
          <w:b/>
          <w:bCs/>
          <w:sz w:val="24"/>
          <w:szCs w:val="24"/>
        </w:rPr>
        <w:t xml:space="preserve">Healthy Meath Micro Fund </w:t>
      </w:r>
      <w:r w:rsidRPr="007A7CFC">
        <w:rPr>
          <w:rFonts w:ascii="Arial" w:hAnsi="Arial" w:cs="Arial"/>
          <w:sz w:val="24"/>
          <w:szCs w:val="24"/>
        </w:rPr>
        <w:t xml:space="preserve">supports community and voluntary groups wishing to undertake specific </w:t>
      </w:r>
      <w:r w:rsidRPr="007A7CFC">
        <w:rPr>
          <w:rFonts w:ascii="Arial" w:hAnsi="Arial" w:cs="Arial"/>
          <w:b/>
          <w:bCs/>
          <w:sz w:val="24"/>
          <w:szCs w:val="24"/>
        </w:rPr>
        <w:t xml:space="preserve">'Health and Wellbeing' projects </w:t>
      </w:r>
      <w:r w:rsidRPr="007A7CFC">
        <w:rPr>
          <w:rFonts w:ascii="Arial" w:hAnsi="Arial" w:cs="Arial"/>
          <w:sz w:val="24"/>
          <w:szCs w:val="24"/>
        </w:rPr>
        <w:t xml:space="preserve">under the relevant categories of the scheme. The purpose of the Local Community Development Committee's </w:t>
      </w:r>
      <w:r w:rsidR="00BC525B">
        <w:rPr>
          <w:rFonts w:ascii="Arial" w:hAnsi="Arial" w:cs="Arial"/>
          <w:sz w:val="24"/>
          <w:szCs w:val="24"/>
        </w:rPr>
        <w:t xml:space="preserve">(LCDC) </w:t>
      </w:r>
      <w:r w:rsidRPr="007A7CFC">
        <w:rPr>
          <w:rFonts w:ascii="Arial" w:hAnsi="Arial" w:cs="Arial"/>
          <w:sz w:val="24"/>
          <w:szCs w:val="24"/>
        </w:rPr>
        <w:t>Healthy Meath Micro Fund is to encourage and support community and voluntary groups to take an active part in improving and protecting health and wellbeing at all stages of life, reducing health inequalities, and creating an environment where everyone can play their part in a healthier Meath.</w:t>
      </w:r>
    </w:p>
    <w:p w14:paraId="073506FC" w14:textId="77777777" w:rsidR="000D6A54" w:rsidRPr="007A7CFC" w:rsidRDefault="000D6A54" w:rsidP="001331D6">
      <w:pPr>
        <w:spacing w:line="276" w:lineRule="auto"/>
        <w:jc w:val="both"/>
        <w:rPr>
          <w:rFonts w:ascii="Arial" w:hAnsi="Arial" w:cs="Arial"/>
          <w:sz w:val="24"/>
          <w:szCs w:val="24"/>
        </w:rPr>
      </w:pPr>
    </w:p>
    <w:p w14:paraId="185995AA" w14:textId="77777777" w:rsidR="000D6A54" w:rsidRPr="007A7CFC" w:rsidRDefault="000D6A54" w:rsidP="001331D6">
      <w:pPr>
        <w:pStyle w:val="Default"/>
        <w:spacing w:line="276" w:lineRule="auto"/>
        <w:jc w:val="both"/>
      </w:pPr>
      <w:r w:rsidRPr="007A7CFC">
        <w:rPr>
          <w:b/>
          <w:bCs/>
          <w:color w:val="92D050"/>
        </w:rPr>
        <w:t xml:space="preserve">What is the purpose of the Healthy Meath Micro Fund 2024? </w:t>
      </w:r>
    </w:p>
    <w:p w14:paraId="3FCF635D" w14:textId="4624A8AB" w:rsidR="000D6A54" w:rsidRPr="007A7CFC" w:rsidRDefault="000D6A54" w:rsidP="001331D6">
      <w:pPr>
        <w:pStyle w:val="Default"/>
        <w:spacing w:line="276" w:lineRule="auto"/>
        <w:jc w:val="both"/>
      </w:pPr>
      <w:r w:rsidRPr="007A7CFC">
        <w:t xml:space="preserve">The purpose of the fund is to improve population Health and Wellbeing in County Meath, by supporting and encouraging targeted actions in response to the identified </w:t>
      </w:r>
      <w:r w:rsidR="00BC1DD4">
        <w:t>two</w:t>
      </w:r>
      <w:r w:rsidRPr="007A7CFC">
        <w:t xml:space="preserve"> priority outcomes needed for a Healthier Meath. </w:t>
      </w:r>
    </w:p>
    <w:p w14:paraId="1223C100" w14:textId="77777777" w:rsidR="000D6A54" w:rsidRPr="007A7CFC" w:rsidRDefault="000D6A54" w:rsidP="001331D6">
      <w:pPr>
        <w:pStyle w:val="Default"/>
        <w:spacing w:line="276" w:lineRule="auto"/>
        <w:jc w:val="both"/>
      </w:pPr>
    </w:p>
    <w:p w14:paraId="73BA8FBD" w14:textId="77777777" w:rsidR="000D6A54" w:rsidRPr="007A7CFC" w:rsidRDefault="000D6A54" w:rsidP="001331D6">
      <w:pPr>
        <w:pStyle w:val="Default"/>
        <w:spacing w:line="276" w:lineRule="auto"/>
        <w:jc w:val="both"/>
      </w:pPr>
    </w:p>
    <w:p w14:paraId="572931C8" w14:textId="77777777" w:rsidR="000D6A54" w:rsidRPr="007A7CFC" w:rsidRDefault="000D6A54" w:rsidP="001331D6">
      <w:pPr>
        <w:spacing w:line="276" w:lineRule="auto"/>
        <w:jc w:val="both"/>
        <w:rPr>
          <w:rFonts w:ascii="Arial" w:hAnsi="Arial" w:cs="Arial"/>
          <w:sz w:val="24"/>
          <w:szCs w:val="24"/>
        </w:rPr>
      </w:pPr>
      <w:r w:rsidRPr="007A7CFC">
        <w:rPr>
          <w:rFonts w:ascii="Arial" w:hAnsi="Arial" w:cs="Arial"/>
          <w:sz w:val="24"/>
          <w:szCs w:val="24"/>
        </w:rPr>
        <w:t xml:space="preserve">These priority outcomes align with the </w:t>
      </w:r>
      <w:r w:rsidR="00BC525B" w:rsidRPr="00BC525B">
        <w:rPr>
          <w:rFonts w:ascii="Arial" w:hAnsi="Arial" w:cs="Arial"/>
          <w:sz w:val="24"/>
          <w:szCs w:val="24"/>
        </w:rPr>
        <w:t>Healthy Ireland Fund Local Strategy for Meath County Council</w:t>
      </w:r>
      <w:r w:rsidRPr="007A7CFC">
        <w:rPr>
          <w:rFonts w:ascii="Arial" w:hAnsi="Arial" w:cs="Arial"/>
          <w:sz w:val="24"/>
          <w:szCs w:val="24"/>
        </w:rPr>
        <w:t>, Healthy Ireland Framework for Improved Health and Wellbeing and the Local Economic and Community Plan (LECP) for Meath.</w:t>
      </w:r>
    </w:p>
    <w:p w14:paraId="6267A3B1" w14:textId="77777777" w:rsidR="000D6A54" w:rsidRPr="007A7CFC" w:rsidRDefault="000D6A54" w:rsidP="001331D6">
      <w:pPr>
        <w:spacing w:line="276" w:lineRule="auto"/>
        <w:jc w:val="both"/>
        <w:rPr>
          <w:rFonts w:ascii="Arial" w:hAnsi="Arial" w:cs="Arial"/>
          <w:sz w:val="24"/>
          <w:szCs w:val="24"/>
        </w:rPr>
      </w:pPr>
    </w:p>
    <w:p w14:paraId="3CFF9591" w14:textId="77777777" w:rsidR="000D6A54" w:rsidRPr="007A7CFC" w:rsidRDefault="000D6A54" w:rsidP="001331D6">
      <w:pPr>
        <w:pStyle w:val="Default"/>
        <w:spacing w:line="276" w:lineRule="auto"/>
        <w:jc w:val="both"/>
        <w:rPr>
          <w:color w:val="92D050"/>
        </w:rPr>
      </w:pPr>
      <w:r w:rsidRPr="007A7CFC">
        <w:rPr>
          <w:b/>
          <w:bCs/>
          <w:color w:val="92D050"/>
        </w:rPr>
        <w:t xml:space="preserve">Who should apply? </w:t>
      </w:r>
    </w:p>
    <w:p w14:paraId="3419B478" w14:textId="77777777" w:rsidR="000D6A54" w:rsidRPr="007A7CFC" w:rsidRDefault="000D6A54" w:rsidP="001331D6">
      <w:pPr>
        <w:spacing w:line="276" w:lineRule="auto"/>
        <w:jc w:val="both"/>
        <w:rPr>
          <w:rFonts w:ascii="Arial" w:hAnsi="Arial" w:cs="Arial"/>
          <w:sz w:val="24"/>
          <w:szCs w:val="24"/>
        </w:rPr>
      </w:pPr>
      <w:r w:rsidRPr="007A7CFC">
        <w:rPr>
          <w:rFonts w:ascii="Arial" w:hAnsi="Arial" w:cs="Arial"/>
          <w:sz w:val="24"/>
          <w:szCs w:val="24"/>
        </w:rPr>
        <w:t xml:space="preserve">Any Community and Voluntary group promoting health and wellbeing in County Meath may apply. Public sector organisations are not eligible to make an application. Groups are encouraged to register with the </w:t>
      </w:r>
      <w:r w:rsidR="007A7CFC" w:rsidRPr="007A7CFC">
        <w:rPr>
          <w:rFonts w:ascii="Arial" w:hAnsi="Arial" w:cs="Arial"/>
          <w:sz w:val="24"/>
          <w:szCs w:val="24"/>
        </w:rPr>
        <w:t xml:space="preserve">Meath </w:t>
      </w:r>
      <w:r w:rsidRPr="007A7CFC">
        <w:rPr>
          <w:rFonts w:ascii="Arial" w:hAnsi="Arial" w:cs="Arial"/>
          <w:sz w:val="24"/>
          <w:szCs w:val="24"/>
        </w:rPr>
        <w:t>Public Participation Network (PPN) and be actively involved in the PPN.</w:t>
      </w:r>
    </w:p>
    <w:p w14:paraId="592D1C6F" w14:textId="77777777" w:rsidR="007A7CFC" w:rsidRPr="007A7CFC" w:rsidRDefault="007A7CFC" w:rsidP="001331D6">
      <w:pPr>
        <w:spacing w:line="276" w:lineRule="auto"/>
        <w:jc w:val="both"/>
        <w:rPr>
          <w:rFonts w:ascii="Arial" w:hAnsi="Arial" w:cs="Arial"/>
          <w:sz w:val="24"/>
          <w:szCs w:val="24"/>
        </w:rPr>
      </w:pPr>
    </w:p>
    <w:p w14:paraId="32A8BB0C" w14:textId="77777777" w:rsidR="007A7CFC" w:rsidRPr="007A7CFC" w:rsidRDefault="007A7CFC" w:rsidP="001331D6">
      <w:pPr>
        <w:pStyle w:val="Default"/>
        <w:spacing w:line="276" w:lineRule="auto"/>
        <w:jc w:val="both"/>
        <w:rPr>
          <w:color w:val="92D050"/>
        </w:rPr>
      </w:pPr>
      <w:r w:rsidRPr="007A7CFC">
        <w:rPr>
          <w:b/>
          <w:bCs/>
          <w:color w:val="92D050"/>
        </w:rPr>
        <w:t xml:space="preserve">What types of proposals are considered? </w:t>
      </w:r>
    </w:p>
    <w:p w14:paraId="0E1C8458" w14:textId="32768814" w:rsidR="007A7CFC" w:rsidRPr="007A7CFC" w:rsidRDefault="007A7CFC" w:rsidP="001331D6">
      <w:pPr>
        <w:pStyle w:val="Default"/>
        <w:spacing w:line="276" w:lineRule="auto"/>
        <w:jc w:val="both"/>
      </w:pPr>
      <w:r w:rsidRPr="007A7CFC">
        <w:t xml:space="preserve">The Healthy Meath Micro Fund comprises of </w:t>
      </w:r>
      <w:r w:rsidR="00BC1DD4">
        <w:t>two</w:t>
      </w:r>
      <w:r w:rsidRPr="007A7CFC">
        <w:t xml:space="preserve"> different support funds: </w:t>
      </w:r>
    </w:p>
    <w:p w14:paraId="770DD44B" w14:textId="761712EC" w:rsidR="007A7CFC" w:rsidRPr="007A7CFC" w:rsidRDefault="007A7CFC" w:rsidP="001331D6">
      <w:pPr>
        <w:pStyle w:val="Default"/>
        <w:numPr>
          <w:ilvl w:val="0"/>
          <w:numId w:val="3"/>
        </w:numPr>
        <w:spacing w:after="32" w:line="276" w:lineRule="auto"/>
        <w:jc w:val="both"/>
      </w:pPr>
      <w:bookmarkStart w:id="0" w:name="_Hlk160448860"/>
      <w:r w:rsidRPr="007A7CFC">
        <w:t xml:space="preserve">Support Fund </w:t>
      </w:r>
      <w:r w:rsidR="00BC525B" w:rsidRPr="00BC525B">
        <w:t xml:space="preserve">to promote and improve </w:t>
      </w:r>
      <w:r w:rsidRPr="007A7CFC">
        <w:rPr>
          <w:b/>
          <w:bCs/>
        </w:rPr>
        <w:t>Healthy Lifestyle</w:t>
      </w:r>
      <w:r w:rsidR="00BC525B">
        <w:rPr>
          <w:b/>
          <w:bCs/>
        </w:rPr>
        <w:t>s</w:t>
      </w:r>
      <w:r w:rsidRPr="007A7CFC">
        <w:rPr>
          <w:b/>
          <w:bCs/>
        </w:rPr>
        <w:t xml:space="preserve"> </w:t>
      </w:r>
      <w:r w:rsidRPr="007A7CFC">
        <w:t xml:space="preserve">under </w:t>
      </w:r>
      <w:r w:rsidR="00694204">
        <w:t xml:space="preserve">one or more of </w:t>
      </w:r>
      <w:r w:rsidRPr="007A7CFC">
        <w:t xml:space="preserve">the following </w:t>
      </w:r>
      <w:r w:rsidR="00694204">
        <w:t>six</w:t>
      </w:r>
      <w:r w:rsidRPr="007A7CFC">
        <w:t xml:space="preserve"> pillars (</w:t>
      </w:r>
      <w:r w:rsidR="00065D8D">
        <w:t xml:space="preserve">Min Grant €500, </w:t>
      </w:r>
      <w:r w:rsidRPr="007A7CFC">
        <w:t xml:space="preserve">Max Grant €2,000) </w:t>
      </w:r>
    </w:p>
    <w:p w14:paraId="68964784" w14:textId="77777777" w:rsidR="007A7CFC" w:rsidRPr="007A7CFC" w:rsidRDefault="007A7CFC" w:rsidP="001331D6">
      <w:pPr>
        <w:pStyle w:val="Default"/>
        <w:numPr>
          <w:ilvl w:val="1"/>
          <w:numId w:val="3"/>
        </w:numPr>
        <w:spacing w:after="32" w:line="276" w:lineRule="auto"/>
        <w:jc w:val="both"/>
      </w:pPr>
      <w:r w:rsidRPr="007A7CFC">
        <w:t xml:space="preserve">Community </w:t>
      </w:r>
      <w:r>
        <w:t>H</w:t>
      </w:r>
      <w:r w:rsidRPr="007A7CFC">
        <w:t xml:space="preserve">ealth </w:t>
      </w:r>
      <w:r>
        <w:t>C</w:t>
      </w:r>
      <w:r w:rsidRPr="007A7CFC">
        <w:t>hecks</w:t>
      </w:r>
    </w:p>
    <w:p w14:paraId="68427FF9" w14:textId="77777777" w:rsidR="007A7CFC" w:rsidRPr="007A7CFC" w:rsidRDefault="007A7CFC" w:rsidP="001331D6">
      <w:pPr>
        <w:pStyle w:val="Default"/>
        <w:numPr>
          <w:ilvl w:val="1"/>
          <w:numId w:val="3"/>
        </w:numPr>
        <w:spacing w:after="32" w:line="276" w:lineRule="auto"/>
        <w:jc w:val="both"/>
      </w:pPr>
      <w:r w:rsidRPr="007A7CFC">
        <w:t>Being SunSmart</w:t>
      </w:r>
    </w:p>
    <w:p w14:paraId="5A34584F" w14:textId="77777777" w:rsidR="007A7CFC" w:rsidRPr="007A7CFC" w:rsidRDefault="007A7CFC" w:rsidP="001331D6">
      <w:pPr>
        <w:pStyle w:val="Default"/>
        <w:numPr>
          <w:ilvl w:val="1"/>
          <w:numId w:val="3"/>
        </w:numPr>
        <w:spacing w:after="32" w:line="276" w:lineRule="auto"/>
        <w:jc w:val="both"/>
      </w:pPr>
      <w:r w:rsidRPr="007A7CFC">
        <w:t>Smoking and Vaping</w:t>
      </w:r>
    </w:p>
    <w:p w14:paraId="252CBB46" w14:textId="77777777" w:rsidR="007A7CFC" w:rsidRPr="007A7CFC" w:rsidRDefault="007A7CFC" w:rsidP="001331D6">
      <w:pPr>
        <w:pStyle w:val="Default"/>
        <w:numPr>
          <w:ilvl w:val="1"/>
          <w:numId w:val="3"/>
        </w:numPr>
        <w:spacing w:after="32" w:line="276" w:lineRule="auto"/>
        <w:jc w:val="both"/>
      </w:pPr>
      <w:r w:rsidRPr="007A7CFC">
        <w:t>Alcohol Consumption</w:t>
      </w:r>
    </w:p>
    <w:p w14:paraId="40192779" w14:textId="77777777" w:rsidR="007A7CFC" w:rsidRPr="007A7CFC" w:rsidRDefault="007A7CFC" w:rsidP="001331D6">
      <w:pPr>
        <w:pStyle w:val="Default"/>
        <w:numPr>
          <w:ilvl w:val="1"/>
          <w:numId w:val="3"/>
        </w:numPr>
        <w:spacing w:after="32" w:line="276" w:lineRule="auto"/>
        <w:jc w:val="both"/>
      </w:pPr>
      <w:r w:rsidRPr="007A7CFC">
        <w:t>Physical Activity</w:t>
      </w:r>
    </w:p>
    <w:p w14:paraId="200C2BE5" w14:textId="77777777" w:rsidR="007A7CFC" w:rsidRPr="007A7CFC" w:rsidRDefault="007A7CFC" w:rsidP="001331D6">
      <w:pPr>
        <w:pStyle w:val="Default"/>
        <w:numPr>
          <w:ilvl w:val="1"/>
          <w:numId w:val="3"/>
        </w:numPr>
        <w:spacing w:after="32" w:line="276" w:lineRule="auto"/>
        <w:jc w:val="both"/>
      </w:pPr>
      <w:r w:rsidRPr="007A7CFC">
        <w:t>Healthy Eating</w:t>
      </w:r>
    </w:p>
    <w:bookmarkEnd w:id="0"/>
    <w:p w14:paraId="0DFCA8FE" w14:textId="77777777" w:rsidR="007A7CFC" w:rsidRPr="007A7CFC" w:rsidRDefault="007A7CFC" w:rsidP="001331D6">
      <w:pPr>
        <w:pStyle w:val="Default"/>
        <w:spacing w:after="32" w:line="276" w:lineRule="auto"/>
        <w:jc w:val="both"/>
      </w:pPr>
    </w:p>
    <w:p w14:paraId="30EBBF9D" w14:textId="13957E2A" w:rsidR="00BC525B" w:rsidRDefault="007A7CFC" w:rsidP="00BC525B">
      <w:pPr>
        <w:pStyle w:val="Default"/>
        <w:numPr>
          <w:ilvl w:val="0"/>
          <w:numId w:val="3"/>
        </w:numPr>
        <w:spacing w:line="276" w:lineRule="auto"/>
        <w:jc w:val="both"/>
      </w:pPr>
      <w:bookmarkStart w:id="1" w:name="_Hlk160448897"/>
      <w:r w:rsidRPr="007A7CFC">
        <w:lastRenderedPageBreak/>
        <w:t xml:space="preserve">Support Fund </w:t>
      </w:r>
      <w:r w:rsidR="00BC525B">
        <w:t>to promote and improve</w:t>
      </w:r>
      <w:r w:rsidRPr="007A7CFC">
        <w:t xml:space="preserve"> </w:t>
      </w:r>
      <w:r w:rsidRPr="007A7CFC">
        <w:rPr>
          <w:b/>
          <w:bCs/>
        </w:rPr>
        <w:t xml:space="preserve">Positive Mental Health </w:t>
      </w:r>
      <w:r w:rsidRPr="007A7CFC">
        <w:t>(</w:t>
      </w:r>
      <w:r w:rsidR="00065D8D">
        <w:t xml:space="preserve">Min Grant €500, </w:t>
      </w:r>
      <w:r w:rsidRPr="007A7CFC">
        <w:t xml:space="preserve">Max Grant €2,000) </w:t>
      </w:r>
      <w:bookmarkEnd w:id="1"/>
    </w:p>
    <w:p w14:paraId="5F22AB5F" w14:textId="77777777" w:rsidR="00BC525B" w:rsidRDefault="00BC525B" w:rsidP="00BC525B">
      <w:pPr>
        <w:pStyle w:val="Default"/>
        <w:spacing w:line="276" w:lineRule="auto"/>
        <w:jc w:val="both"/>
      </w:pPr>
    </w:p>
    <w:p w14:paraId="50154456" w14:textId="77777777" w:rsidR="00BC525B" w:rsidRDefault="00BC525B" w:rsidP="00BC525B">
      <w:pPr>
        <w:pStyle w:val="Default"/>
        <w:spacing w:line="276" w:lineRule="auto"/>
        <w:jc w:val="both"/>
      </w:pPr>
    </w:p>
    <w:p w14:paraId="5AEB7580" w14:textId="77777777" w:rsidR="005D6429" w:rsidRPr="008B001C" w:rsidRDefault="005D6429" w:rsidP="00BC525B">
      <w:pPr>
        <w:pStyle w:val="Default"/>
        <w:spacing w:line="276" w:lineRule="auto"/>
        <w:jc w:val="both"/>
      </w:pPr>
      <w:r w:rsidRPr="00BC525B">
        <w:rPr>
          <w:b/>
          <w:bCs/>
          <w:color w:val="92D050"/>
        </w:rPr>
        <w:t xml:space="preserve">How will my application be assessed? </w:t>
      </w:r>
    </w:p>
    <w:p w14:paraId="16079CAC" w14:textId="77777777" w:rsidR="005D6429" w:rsidRPr="008B001C" w:rsidRDefault="005D6429" w:rsidP="001331D6">
      <w:pPr>
        <w:pStyle w:val="Default"/>
        <w:spacing w:line="276" w:lineRule="auto"/>
        <w:jc w:val="both"/>
      </w:pPr>
      <w:r w:rsidRPr="008B001C">
        <w:t xml:space="preserve">Your application will be assessed only on the information provided in or along with the completed application form. You are encouraged to include documentation with your application to support any information given. The </w:t>
      </w:r>
      <w:r w:rsidR="00694204">
        <w:t xml:space="preserve">Meath LCDC Health and Wellbeing Subgroup </w:t>
      </w:r>
      <w:r w:rsidRPr="008B001C">
        <w:t xml:space="preserve">will assess your application and make a recommendation in conjunction with the LCDC’s funding evaluation template. </w:t>
      </w:r>
      <w:r w:rsidR="00694204" w:rsidRPr="00694204">
        <w:t xml:space="preserve">The Meath LCDC Health and Wellbeing Subgroup </w:t>
      </w:r>
      <w:r w:rsidRPr="008B001C">
        <w:t xml:space="preserve">will draw on the professional expertise of its members. </w:t>
      </w:r>
    </w:p>
    <w:p w14:paraId="3D123EE9" w14:textId="77777777" w:rsidR="008B001C" w:rsidRPr="008B001C" w:rsidRDefault="008B001C" w:rsidP="001331D6">
      <w:pPr>
        <w:pStyle w:val="Default"/>
        <w:spacing w:line="276" w:lineRule="auto"/>
        <w:jc w:val="both"/>
      </w:pPr>
    </w:p>
    <w:p w14:paraId="000454FA" w14:textId="77777777" w:rsidR="005D6429" w:rsidRPr="008B001C" w:rsidRDefault="005D6429" w:rsidP="001331D6">
      <w:pPr>
        <w:pStyle w:val="Default"/>
        <w:spacing w:line="276" w:lineRule="auto"/>
        <w:jc w:val="both"/>
      </w:pPr>
      <w:r w:rsidRPr="008B001C">
        <w:t xml:space="preserve">The following criteria will be used when assessing applications. </w:t>
      </w:r>
    </w:p>
    <w:p w14:paraId="413CB69D" w14:textId="77777777" w:rsidR="005D6429" w:rsidRPr="00E6605D" w:rsidRDefault="005D6429" w:rsidP="001331D6">
      <w:pPr>
        <w:pStyle w:val="Default"/>
        <w:numPr>
          <w:ilvl w:val="0"/>
          <w:numId w:val="25"/>
        </w:numPr>
        <w:spacing w:after="20" w:line="276" w:lineRule="auto"/>
        <w:jc w:val="both"/>
        <w:rPr>
          <w:color w:val="auto"/>
        </w:rPr>
      </w:pPr>
      <w:r w:rsidRPr="00E6605D">
        <w:rPr>
          <w:color w:val="auto"/>
        </w:rPr>
        <w:t xml:space="preserve">Is the proposed project consistent with the </w:t>
      </w:r>
      <w:bookmarkStart w:id="2" w:name="_Hlk161051043"/>
      <w:r w:rsidR="00BC525B" w:rsidRPr="00BC525B">
        <w:t>Healthy Ireland Fund Local Strategy for Meath County Council</w:t>
      </w:r>
      <w:r w:rsidR="00694204" w:rsidRPr="00E6605D">
        <w:t>, Healthy Ireland Framework</w:t>
      </w:r>
      <w:r w:rsidRPr="00E6605D">
        <w:rPr>
          <w:color w:val="auto"/>
        </w:rPr>
        <w:t xml:space="preserve"> and</w:t>
      </w:r>
      <w:r w:rsidR="00694204" w:rsidRPr="00E6605D">
        <w:rPr>
          <w:color w:val="auto"/>
        </w:rPr>
        <w:t xml:space="preserve"> County Meath</w:t>
      </w:r>
      <w:r w:rsidRPr="00E6605D">
        <w:rPr>
          <w:color w:val="auto"/>
        </w:rPr>
        <w:t xml:space="preserve"> LECP key priority areas</w:t>
      </w:r>
      <w:bookmarkEnd w:id="2"/>
      <w:r w:rsidRPr="00E6605D">
        <w:rPr>
          <w:color w:val="auto"/>
        </w:rPr>
        <w:t xml:space="preserve">? </w:t>
      </w:r>
    </w:p>
    <w:p w14:paraId="51367CED" w14:textId="77777777" w:rsidR="005D6429" w:rsidRPr="00E6605D" w:rsidRDefault="005D6429" w:rsidP="001331D6">
      <w:pPr>
        <w:pStyle w:val="Default"/>
        <w:numPr>
          <w:ilvl w:val="0"/>
          <w:numId w:val="25"/>
        </w:numPr>
        <w:spacing w:after="20" w:line="276" w:lineRule="auto"/>
        <w:jc w:val="both"/>
        <w:rPr>
          <w:color w:val="auto"/>
        </w:rPr>
      </w:pPr>
      <w:r w:rsidRPr="00E6605D">
        <w:rPr>
          <w:color w:val="auto"/>
        </w:rPr>
        <w:t xml:space="preserve">Does the proposed project meet the eligibility criteria of the scheme? </w:t>
      </w:r>
    </w:p>
    <w:p w14:paraId="32637A46" w14:textId="77777777" w:rsidR="004A2D04" w:rsidRPr="00E6605D" w:rsidRDefault="004A2D04" w:rsidP="001331D6">
      <w:pPr>
        <w:pStyle w:val="Default"/>
        <w:numPr>
          <w:ilvl w:val="0"/>
          <w:numId w:val="25"/>
        </w:numPr>
        <w:spacing w:after="20" w:line="276" w:lineRule="auto"/>
        <w:jc w:val="both"/>
        <w:rPr>
          <w:color w:val="auto"/>
        </w:rPr>
      </w:pPr>
      <w:r w:rsidRPr="00E6605D">
        <w:rPr>
          <w:color w:val="auto"/>
        </w:rPr>
        <w:t>Location and scale of need (i.e. what health issue you are trying to address).</w:t>
      </w:r>
    </w:p>
    <w:p w14:paraId="2D5691AB" w14:textId="77777777" w:rsidR="005D6429" w:rsidRPr="00E6605D" w:rsidRDefault="005D6429" w:rsidP="001331D6">
      <w:pPr>
        <w:pStyle w:val="Default"/>
        <w:numPr>
          <w:ilvl w:val="0"/>
          <w:numId w:val="25"/>
        </w:numPr>
        <w:spacing w:after="20" w:line="276" w:lineRule="auto"/>
        <w:jc w:val="both"/>
        <w:rPr>
          <w:color w:val="auto"/>
        </w:rPr>
      </w:pPr>
      <w:r w:rsidRPr="00E6605D">
        <w:rPr>
          <w:color w:val="auto"/>
        </w:rPr>
        <w:t xml:space="preserve">Capacity </w:t>
      </w:r>
      <w:r w:rsidR="00694204" w:rsidRPr="00E6605D">
        <w:rPr>
          <w:color w:val="auto"/>
        </w:rPr>
        <w:t xml:space="preserve">of the applicant </w:t>
      </w:r>
      <w:r w:rsidRPr="00E6605D">
        <w:rPr>
          <w:color w:val="auto"/>
        </w:rPr>
        <w:t xml:space="preserve">to deliver and evaluate the programme. </w:t>
      </w:r>
    </w:p>
    <w:p w14:paraId="6D1F1679" w14:textId="77777777" w:rsidR="005D6429" w:rsidRPr="00E6605D" w:rsidRDefault="005D6429" w:rsidP="001331D6">
      <w:pPr>
        <w:pStyle w:val="Default"/>
        <w:numPr>
          <w:ilvl w:val="0"/>
          <w:numId w:val="25"/>
        </w:numPr>
        <w:spacing w:after="20" w:line="276" w:lineRule="auto"/>
        <w:jc w:val="both"/>
        <w:rPr>
          <w:color w:val="auto"/>
        </w:rPr>
      </w:pPr>
      <w:r w:rsidRPr="00E6605D">
        <w:rPr>
          <w:color w:val="auto"/>
        </w:rPr>
        <w:t>Impact of the project and sustainability</w:t>
      </w:r>
      <w:r w:rsidR="00694204" w:rsidRPr="00E6605D">
        <w:rPr>
          <w:color w:val="auto"/>
        </w:rPr>
        <w:t>.</w:t>
      </w:r>
      <w:r w:rsidRPr="00E6605D">
        <w:rPr>
          <w:color w:val="auto"/>
        </w:rPr>
        <w:t xml:space="preserve"> </w:t>
      </w:r>
    </w:p>
    <w:p w14:paraId="5CAE197D" w14:textId="77777777" w:rsidR="005D6429" w:rsidRPr="00E6605D" w:rsidRDefault="005D6429" w:rsidP="001331D6">
      <w:pPr>
        <w:pStyle w:val="Default"/>
        <w:numPr>
          <w:ilvl w:val="0"/>
          <w:numId w:val="25"/>
        </w:numPr>
        <w:spacing w:after="20" w:line="276" w:lineRule="auto"/>
        <w:jc w:val="both"/>
        <w:rPr>
          <w:color w:val="auto"/>
        </w:rPr>
      </w:pPr>
      <w:r w:rsidRPr="00E6605D">
        <w:rPr>
          <w:color w:val="auto"/>
        </w:rPr>
        <w:t xml:space="preserve">Additionality i.e. demonstrate that the project would not take place but for the programme funding </w:t>
      </w:r>
    </w:p>
    <w:p w14:paraId="1E14C23B" w14:textId="77777777" w:rsidR="005D6429" w:rsidRPr="00E6605D" w:rsidRDefault="005D6429" w:rsidP="001331D6">
      <w:pPr>
        <w:pStyle w:val="Default"/>
        <w:numPr>
          <w:ilvl w:val="0"/>
          <w:numId w:val="25"/>
        </w:numPr>
        <w:spacing w:line="276" w:lineRule="auto"/>
        <w:jc w:val="both"/>
        <w:rPr>
          <w:color w:val="auto"/>
        </w:rPr>
      </w:pPr>
      <w:r w:rsidRPr="00E6605D">
        <w:rPr>
          <w:color w:val="auto"/>
        </w:rPr>
        <w:t xml:space="preserve">Leveraging other resources and supports. </w:t>
      </w:r>
    </w:p>
    <w:p w14:paraId="1D6C018A" w14:textId="77777777" w:rsidR="005D6429" w:rsidRPr="008B001C" w:rsidRDefault="005D6429" w:rsidP="001331D6">
      <w:pPr>
        <w:pStyle w:val="Default"/>
        <w:spacing w:line="276" w:lineRule="auto"/>
        <w:jc w:val="both"/>
        <w:rPr>
          <w:color w:val="92D050"/>
        </w:rPr>
      </w:pPr>
    </w:p>
    <w:p w14:paraId="5383D623" w14:textId="77777777" w:rsidR="005D6429" w:rsidRPr="008B001C" w:rsidRDefault="005D6429" w:rsidP="001331D6">
      <w:pPr>
        <w:pStyle w:val="Default"/>
        <w:spacing w:line="276" w:lineRule="auto"/>
        <w:jc w:val="both"/>
      </w:pPr>
      <w:r w:rsidRPr="008B001C">
        <w:t xml:space="preserve">Following this evaluation, applicants of the fund will be notified of the status on their application as ‘successful’ or ‘unsuccessful’. </w:t>
      </w:r>
    </w:p>
    <w:p w14:paraId="03BACFBD" w14:textId="77777777" w:rsidR="005D6429" w:rsidRPr="008B001C" w:rsidRDefault="005D6429" w:rsidP="001331D6">
      <w:pPr>
        <w:pStyle w:val="Default"/>
        <w:spacing w:line="276" w:lineRule="auto"/>
        <w:jc w:val="both"/>
        <w:rPr>
          <w:b/>
          <w:bCs/>
          <w:color w:val="92D050"/>
        </w:rPr>
      </w:pPr>
    </w:p>
    <w:p w14:paraId="30C04307" w14:textId="77777777" w:rsidR="005D6429" w:rsidRPr="008B001C" w:rsidRDefault="005D6429" w:rsidP="001331D6">
      <w:pPr>
        <w:pStyle w:val="Default"/>
        <w:spacing w:line="276" w:lineRule="auto"/>
        <w:jc w:val="both"/>
        <w:rPr>
          <w:color w:val="92D050"/>
        </w:rPr>
      </w:pPr>
      <w:r w:rsidRPr="008B001C">
        <w:rPr>
          <w:b/>
          <w:bCs/>
          <w:color w:val="92D050"/>
        </w:rPr>
        <w:t xml:space="preserve">Acceptance of Offer </w:t>
      </w:r>
    </w:p>
    <w:p w14:paraId="5AD83450" w14:textId="77777777" w:rsidR="007A7CFC" w:rsidRPr="008B001C" w:rsidRDefault="005D6429" w:rsidP="001331D6">
      <w:pPr>
        <w:pStyle w:val="Default"/>
        <w:spacing w:line="276" w:lineRule="auto"/>
        <w:jc w:val="both"/>
      </w:pPr>
      <w:r w:rsidRPr="008B001C">
        <w:t>Following the approval of grants by the</w:t>
      </w:r>
      <w:r w:rsidR="00BC525B" w:rsidRPr="00BC525B">
        <w:t xml:space="preserve"> Meath LCDC Health and Wellbeing Subgroup</w:t>
      </w:r>
      <w:r w:rsidRPr="008B001C">
        <w:t xml:space="preserve">, the Healthy </w:t>
      </w:r>
      <w:r w:rsidR="00694204">
        <w:t xml:space="preserve">Ireland </w:t>
      </w:r>
      <w:r w:rsidRPr="008B001C">
        <w:t>Coordinator</w:t>
      </w:r>
      <w:r w:rsidR="00694204">
        <w:t xml:space="preserve"> for Meath</w:t>
      </w:r>
      <w:r w:rsidRPr="008B001C">
        <w:t xml:space="preserve"> will formally write to applicants informing them of the status of their application i.e. successful or unsuccessful. The letter of offer will be accompanied by a Funding Agreement setting out the terms and conditions of the offer. The Funding Agreement must be signed by the relevant persons and a signed copy must be returned to Meath County Council within 10 days of receipt of the letter of offer. Offers will lapse in the absence of the returned, signed Funding Agreement.</w:t>
      </w:r>
    </w:p>
    <w:p w14:paraId="335BD9EC" w14:textId="77777777" w:rsidR="00E51BDF" w:rsidRDefault="00E51BDF" w:rsidP="001331D6">
      <w:pPr>
        <w:spacing w:line="276" w:lineRule="auto"/>
      </w:pPr>
    </w:p>
    <w:p w14:paraId="65C40C0C" w14:textId="77777777" w:rsidR="00E51BDF" w:rsidRPr="00E51BDF" w:rsidRDefault="00E51BDF" w:rsidP="001331D6">
      <w:pPr>
        <w:pStyle w:val="Default"/>
        <w:spacing w:line="276" w:lineRule="auto"/>
        <w:jc w:val="both"/>
        <w:rPr>
          <w:b/>
          <w:bCs/>
          <w:color w:val="92D050"/>
        </w:rPr>
      </w:pPr>
      <w:r w:rsidRPr="00E51BDF">
        <w:rPr>
          <w:b/>
          <w:bCs/>
          <w:color w:val="92D050"/>
        </w:rPr>
        <w:t>How do I draw down the grant?</w:t>
      </w:r>
    </w:p>
    <w:p w14:paraId="2D0F15FB" w14:textId="084F3EB6" w:rsidR="00E51BDF" w:rsidRDefault="00E51BDF" w:rsidP="001331D6">
      <w:pPr>
        <w:pStyle w:val="Default"/>
        <w:numPr>
          <w:ilvl w:val="0"/>
          <w:numId w:val="28"/>
        </w:numPr>
        <w:spacing w:line="276" w:lineRule="auto"/>
        <w:jc w:val="both"/>
      </w:pPr>
      <w:r>
        <w:t>All funding must be drawn before 30</w:t>
      </w:r>
      <w:r w:rsidRPr="00E51BDF">
        <w:t>th</w:t>
      </w:r>
      <w:r>
        <w:t xml:space="preserve"> November 2024</w:t>
      </w:r>
      <w:r w:rsidR="00BC1DD4">
        <w:t>.</w:t>
      </w:r>
    </w:p>
    <w:p w14:paraId="36CB0E0F" w14:textId="77777777" w:rsidR="00BC525B" w:rsidRDefault="00BC525B" w:rsidP="00BC525B">
      <w:pPr>
        <w:pStyle w:val="Default"/>
        <w:spacing w:line="276" w:lineRule="auto"/>
        <w:jc w:val="both"/>
      </w:pPr>
    </w:p>
    <w:p w14:paraId="26E7210E" w14:textId="77777777" w:rsidR="00BC525B" w:rsidRDefault="00BC525B" w:rsidP="00BC525B">
      <w:pPr>
        <w:pStyle w:val="Default"/>
        <w:spacing w:line="276" w:lineRule="auto"/>
        <w:jc w:val="both"/>
      </w:pPr>
    </w:p>
    <w:p w14:paraId="0BEBD421" w14:textId="77777777" w:rsidR="00BC525B" w:rsidRDefault="00BC525B" w:rsidP="00BC525B">
      <w:pPr>
        <w:pStyle w:val="Default"/>
        <w:spacing w:line="276" w:lineRule="auto"/>
        <w:jc w:val="both"/>
      </w:pPr>
    </w:p>
    <w:p w14:paraId="7135B8BF" w14:textId="77777777" w:rsidR="00E51BDF" w:rsidRDefault="00E51BDF" w:rsidP="001331D6">
      <w:pPr>
        <w:pStyle w:val="Default"/>
        <w:numPr>
          <w:ilvl w:val="0"/>
          <w:numId w:val="28"/>
        </w:numPr>
        <w:spacing w:line="276" w:lineRule="auto"/>
        <w:jc w:val="both"/>
      </w:pPr>
      <w:r>
        <w:lastRenderedPageBreak/>
        <w:t>Projects/Proposals must be completed before you can draw down the grant. Before final payment, Meath County Council may require a site inspection or project visit to confirm that all projects are completed.</w:t>
      </w:r>
    </w:p>
    <w:p w14:paraId="34FD7185" w14:textId="30775D93" w:rsidR="00E51BDF" w:rsidRDefault="00E51BDF" w:rsidP="001331D6">
      <w:pPr>
        <w:pStyle w:val="Default"/>
        <w:numPr>
          <w:ilvl w:val="0"/>
          <w:numId w:val="28"/>
        </w:numPr>
        <w:spacing w:line="276" w:lineRule="auto"/>
        <w:jc w:val="both"/>
      </w:pPr>
      <w:r>
        <w:t>A Healthy Meath Micro Fund project completion report and financial report must be submitted at the end of the project</w:t>
      </w:r>
      <w:r w:rsidR="00065D8D">
        <w:t xml:space="preserve"> (templates will be provided for both)</w:t>
      </w:r>
      <w:r>
        <w:t xml:space="preserve">. This </w:t>
      </w:r>
      <w:r w:rsidR="00BC1DD4">
        <w:t>c</w:t>
      </w:r>
      <w:r>
        <w:t>ompletion report is a short summary report on the funded project/event. The Financial Report template must be accompanied by:</w:t>
      </w:r>
    </w:p>
    <w:p w14:paraId="79F8D826" w14:textId="30FF66EF" w:rsidR="00E51BDF" w:rsidRDefault="00065D8D" w:rsidP="001331D6">
      <w:pPr>
        <w:pStyle w:val="Default"/>
        <w:numPr>
          <w:ilvl w:val="0"/>
          <w:numId w:val="27"/>
        </w:numPr>
        <w:spacing w:line="276" w:lineRule="auto"/>
        <w:ind w:left="1080"/>
        <w:jc w:val="both"/>
      </w:pPr>
      <w:r>
        <w:t xml:space="preserve">Dated </w:t>
      </w:r>
      <w:r w:rsidR="00E51BDF">
        <w:t>Invoices and original receipts detailing expenditure on the project – Invoices and Receipts must reference the name of the Grantee e.g. name of the organisation / community group.</w:t>
      </w:r>
      <w:r w:rsidR="00944329">
        <w:t xml:space="preserve"> They must be dated after the acceptance offer has been signed and before the cut off project completion date of 30</w:t>
      </w:r>
      <w:r w:rsidR="00944329" w:rsidRPr="00944329">
        <w:rPr>
          <w:vertAlign w:val="superscript"/>
        </w:rPr>
        <w:t>th</w:t>
      </w:r>
      <w:r w:rsidR="00944329">
        <w:t xml:space="preserve"> of November 2024.</w:t>
      </w:r>
    </w:p>
    <w:p w14:paraId="5A892C07" w14:textId="77777777" w:rsidR="00E51BDF" w:rsidRDefault="00E51BDF" w:rsidP="001331D6">
      <w:pPr>
        <w:pStyle w:val="Default"/>
        <w:numPr>
          <w:ilvl w:val="0"/>
          <w:numId w:val="26"/>
        </w:numPr>
        <w:spacing w:line="276" w:lineRule="auto"/>
        <w:ind w:left="1080"/>
        <w:jc w:val="both"/>
      </w:pPr>
      <w:r>
        <w:t>Bank Statements of Healthy Meath Micro Fund 2024 transactions.</w:t>
      </w:r>
    </w:p>
    <w:p w14:paraId="5B6AFD0E" w14:textId="77777777" w:rsidR="00E51BDF" w:rsidRDefault="00E51BDF" w:rsidP="00BC525B">
      <w:pPr>
        <w:pStyle w:val="Default"/>
        <w:numPr>
          <w:ilvl w:val="1"/>
          <w:numId w:val="26"/>
        </w:numPr>
        <w:spacing w:line="276" w:lineRule="auto"/>
        <w:jc w:val="both"/>
      </w:pPr>
      <w:r>
        <w:t>Before and after photos or improvements to amenities or facilities or photographs of events held. By submitting photos, the applicant is giving permission to Meath County Council to use the image(s) for promotional purposes, and confirming they have the permission of the photographer and any people who appear in the photo.</w:t>
      </w:r>
    </w:p>
    <w:p w14:paraId="327AED3C" w14:textId="77777777" w:rsidR="00E51BDF" w:rsidRDefault="00E51BDF" w:rsidP="00BC525B">
      <w:pPr>
        <w:pStyle w:val="Default"/>
        <w:numPr>
          <w:ilvl w:val="1"/>
          <w:numId w:val="26"/>
        </w:numPr>
        <w:spacing w:line="276" w:lineRule="auto"/>
        <w:jc w:val="both"/>
      </w:pPr>
      <w:r>
        <w:t>Any other documentation which will be notified to you at approval stage.</w:t>
      </w:r>
    </w:p>
    <w:p w14:paraId="30EBE6E5" w14:textId="77777777" w:rsidR="00E51BDF" w:rsidRDefault="00E51BDF" w:rsidP="001331D6">
      <w:pPr>
        <w:pStyle w:val="Default"/>
        <w:spacing w:line="276" w:lineRule="auto"/>
        <w:jc w:val="both"/>
      </w:pPr>
    </w:p>
    <w:p w14:paraId="6505BFB2" w14:textId="77777777" w:rsidR="00E51BDF" w:rsidRDefault="00E51BDF" w:rsidP="001331D6">
      <w:pPr>
        <w:pStyle w:val="Default"/>
        <w:spacing w:line="276" w:lineRule="auto"/>
        <w:jc w:val="both"/>
      </w:pPr>
    </w:p>
    <w:p w14:paraId="28980E12" w14:textId="77777777" w:rsidR="00E51BDF" w:rsidRPr="00E51BDF" w:rsidRDefault="00E51BDF" w:rsidP="001331D6">
      <w:pPr>
        <w:pStyle w:val="Default"/>
        <w:spacing w:line="276" w:lineRule="auto"/>
        <w:jc w:val="both"/>
        <w:rPr>
          <w:b/>
          <w:color w:val="92D050"/>
        </w:rPr>
      </w:pPr>
      <w:r w:rsidRPr="00E51BDF">
        <w:rPr>
          <w:b/>
          <w:color w:val="92D050"/>
        </w:rPr>
        <w:t>Please note that:</w:t>
      </w:r>
    </w:p>
    <w:p w14:paraId="6C608C6C" w14:textId="77777777" w:rsidR="00E51BDF" w:rsidRDefault="00E51BDF" w:rsidP="001331D6">
      <w:pPr>
        <w:pStyle w:val="Default"/>
        <w:spacing w:line="276" w:lineRule="auto"/>
        <w:jc w:val="both"/>
      </w:pPr>
    </w:p>
    <w:p w14:paraId="4EF7FACD" w14:textId="21A64896" w:rsidR="00E51BDF" w:rsidRDefault="00E51BDF" w:rsidP="001331D6">
      <w:pPr>
        <w:pStyle w:val="Default"/>
        <w:numPr>
          <w:ilvl w:val="0"/>
          <w:numId w:val="29"/>
        </w:numPr>
        <w:spacing w:line="276" w:lineRule="auto"/>
        <w:jc w:val="both"/>
      </w:pPr>
      <w:r>
        <w:t xml:space="preserve">Closing Date for receipt of Application Forms is: </w:t>
      </w:r>
      <w:r w:rsidR="00395942">
        <w:t>7</w:t>
      </w:r>
      <w:r w:rsidR="00395942" w:rsidRPr="00395942">
        <w:rPr>
          <w:vertAlign w:val="superscript"/>
        </w:rPr>
        <w:t>th</w:t>
      </w:r>
      <w:r w:rsidR="00395942">
        <w:t xml:space="preserve"> May </w:t>
      </w:r>
      <w:r>
        <w:t>at 5:00 p.m. via</w:t>
      </w:r>
      <w:r w:rsidR="00395942">
        <w:t xml:space="preserve"> </w:t>
      </w:r>
      <w:hyperlink r:id="rId11" w:history="1">
        <w:r w:rsidR="00395942" w:rsidRPr="00C910D9">
          <w:rPr>
            <w:rStyle w:val="Hyperlink"/>
          </w:rPr>
          <w:t>https://submit.link/2zE</w:t>
        </w:r>
      </w:hyperlink>
      <w:r w:rsidR="00395942">
        <w:t xml:space="preserve"> </w:t>
      </w:r>
      <w:r w:rsidR="00065D8D">
        <w:t xml:space="preserve">. No late applications will be accepted. </w:t>
      </w:r>
    </w:p>
    <w:p w14:paraId="1A5D7626" w14:textId="54CA1E59" w:rsidR="00E51BDF" w:rsidRDefault="00E51BDF" w:rsidP="001331D6">
      <w:pPr>
        <w:pStyle w:val="Default"/>
        <w:numPr>
          <w:ilvl w:val="0"/>
          <w:numId w:val="29"/>
        </w:numPr>
        <w:spacing w:line="276" w:lineRule="auto"/>
        <w:jc w:val="both"/>
      </w:pPr>
      <w:r>
        <w:t xml:space="preserve">Once the project/proposal has been completed, applicants can submit a claim to the Healthy </w:t>
      </w:r>
      <w:r w:rsidR="009A4D13">
        <w:t xml:space="preserve">Ireland </w:t>
      </w:r>
      <w:r>
        <w:t xml:space="preserve">Coordinator </w:t>
      </w:r>
      <w:r w:rsidR="009A4D13">
        <w:t>for Meath</w:t>
      </w:r>
      <w:r w:rsidR="00455733">
        <w:t>.</w:t>
      </w:r>
      <w:bookmarkStart w:id="3" w:name="_GoBack"/>
      <w:bookmarkEnd w:id="3"/>
    </w:p>
    <w:p w14:paraId="7FA63102" w14:textId="06DB2369" w:rsidR="00065D8D" w:rsidRDefault="00065D8D" w:rsidP="001331D6">
      <w:pPr>
        <w:pStyle w:val="Default"/>
        <w:numPr>
          <w:ilvl w:val="0"/>
          <w:numId w:val="29"/>
        </w:numPr>
        <w:spacing w:line="276" w:lineRule="auto"/>
        <w:jc w:val="both"/>
      </w:pPr>
      <w:r>
        <w:t xml:space="preserve">Groups can apply </w:t>
      </w:r>
      <w:r w:rsidR="00BC1DD4">
        <w:t>under</w:t>
      </w:r>
      <w:r>
        <w:t xml:space="preserve"> both</w:t>
      </w:r>
      <w:r w:rsidR="00944329">
        <w:t xml:space="preserve"> the healthy lifestyle and mental health</w:t>
      </w:r>
      <w:r>
        <w:t xml:space="preserve"> funds, but only once for each fund. </w:t>
      </w:r>
    </w:p>
    <w:p w14:paraId="0E8A43F5" w14:textId="01D6ECA3" w:rsidR="00E51BDF" w:rsidRDefault="00E51BDF" w:rsidP="001331D6">
      <w:pPr>
        <w:pStyle w:val="Default"/>
        <w:numPr>
          <w:ilvl w:val="0"/>
          <w:numId w:val="29"/>
        </w:numPr>
        <w:spacing w:line="276" w:lineRule="auto"/>
        <w:jc w:val="both"/>
      </w:pPr>
      <w:r>
        <w:t>All projects must be completed by Saturday 30</w:t>
      </w:r>
      <w:r w:rsidRPr="00E51BDF">
        <w:rPr>
          <w:vertAlign w:val="superscript"/>
        </w:rPr>
        <w:t>th</w:t>
      </w:r>
      <w:r>
        <w:t xml:space="preserve"> November 2024 at 5:00 </w:t>
      </w:r>
      <w:r w:rsidR="000C593A">
        <w:t>p.m.</w:t>
      </w:r>
      <w:r>
        <w:t xml:space="preserve"> and claimed by the </w:t>
      </w:r>
      <w:r w:rsidR="00BC525B">
        <w:t>6</w:t>
      </w:r>
      <w:r w:rsidR="00BC525B" w:rsidRPr="00BC525B">
        <w:rPr>
          <w:vertAlign w:val="superscript"/>
        </w:rPr>
        <w:t>th</w:t>
      </w:r>
      <w:r w:rsidR="00BC525B">
        <w:t xml:space="preserve"> December 2024</w:t>
      </w:r>
      <w:r>
        <w:t>. After this time, the funding will be withdrawn.</w:t>
      </w:r>
    </w:p>
    <w:p w14:paraId="695DD1A9" w14:textId="77777777" w:rsidR="00E51BDF" w:rsidRDefault="00E51BDF" w:rsidP="001331D6">
      <w:pPr>
        <w:pStyle w:val="Default"/>
        <w:numPr>
          <w:ilvl w:val="0"/>
          <w:numId w:val="29"/>
        </w:numPr>
        <w:spacing w:line="276" w:lineRule="auto"/>
        <w:jc w:val="both"/>
      </w:pPr>
      <w:r>
        <w:t>Funding not claimed by the agreed deadline will be withdrawn.</w:t>
      </w:r>
    </w:p>
    <w:p w14:paraId="4F41416C" w14:textId="77777777" w:rsidR="00E51BDF" w:rsidRDefault="00E51BDF" w:rsidP="001331D6">
      <w:pPr>
        <w:pStyle w:val="Default"/>
        <w:numPr>
          <w:ilvl w:val="0"/>
          <w:numId w:val="29"/>
        </w:numPr>
        <w:spacing w:line="276" w:lineRule="auto"/>
        <w:jc w:val="both"/>
      </w:pPr>
      <w:r>
        <w:t>The applicant must comply with Tax Clearance procedures and have insurance (proof of both will be requested).</w:t>
      </w:r>
    </w:p>
    <w:p w14:paraId="240C9F2C" w14:textId="281AAC7E" w:rsidR="00065D8D" w:rsidRDefault="00E51BDF" w:rsidP="001331D6">
      <w:pPr>
        <w:pStyle w:val="Default"/>
        <w:numPr>
          <w:ilvl w:val="0"/>
          <w:numId w:val="29"/>
        </w:numPr>
        <w:spacing w:line="276" w:lineRule="auto"/>
        <w:jc w:val="both"/>
      </w:pPr>
      <w:r>
        <w:t>Before completing the online application form please read the Eligible and Ineligible cost guidelines outline</w:t>
      </w:r>
      <w:r w:rsidR="001B1E2D">
        <w:t xml:space="preserve">d </w:t>
      </w:r>
      <w:r>
        <w:t>above.</w:t>
      </w:r>
    </w:p>
    <w:p w14:paraId="1151B6BA" w14:textId="5C6D5B27" w:rsidR="00065D8D" w:rsidRDefault="00065D8D" w:rsidP="001331D6">
      <w:pPr>
        <w:pStyle w:val="Default"/>
        <w:numPr>
          <w:ilvl w:val="0"/>
          <w:numId w:val="29"/>
        </w:numPr>
        <w:spacing w:line="276" w:lineRule="auto"/>
        <w:jc w:val="both"/>
      </w:pPr>
      <w:r w:rsidRPr="00065D8D">
        <w:t xml:space="preserve">It is the responsibility of the applicant to make sure that all necessary and relevant documentation </w:t>
      </w:r>
      <w:r>
        <w:t>are</w:t>
      </w:r>
      <w:r w:rsidRPr="00065D8D">
        <w:t xml:space="preserve"> submitted when requested.</w:t>
      </w:r>
    </w:p>
    <w:p w14:paraId="15779DD6" w14:textId="716540B4" w:rsidR="007A7CFC" w:rsidRDefault="00944329" w:rsidP="00944329">
      <w:pPr>
        <w:pStyle w:val="Default"/>
        <w:numPr>
          <w:ilvl w:val="0"/>
          <w:numId w:val="29"/>
        </w:numPr>
        <w:spacing w:line="276" w:lineRule="auto"/>
        <w:jc w:val="both"/>
      </w:pPr>
      <w:r>
        <w:t xml:space="preserve">The National Procurement Guidelines must always be adhered to. </w:t>
      </w:r>
      <w:r w:rsidR="007A7CFC">
        <w:br w:type="page"/>
      </w:r>
    </w:p>
    <w:tbl>
      <w:tblPr>
        <w:tblW w:w="10828"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6946"/>
      </w:tblGrid>
      <w:tr w:rsidR="005D6429" w14:paraId="6B4D78D1" w14:textId="77777777" w:rsidTr="005D6429">
        <w:trPr>
          <w:trHeight w:val="328"/>
        </w:trPr>
        <w:tc>
          <w:tcPr>
            <w:tcW w:w="10828" w:type="dxa"/>
            <w:gridSpan w:val="2"/>
          </w:tcPr>
          <w:p w14:paraId="28EEC6CD" w14:textId="77777777" w:rsidR="005D6429" w:rsidRDefault="005D6429">
            <w:pPr>
              <w:pStyle w:val="Default"/>
              <w:rPr>
                <w:color w:val="92D050"/>
                <w:sz w:val="70"/>
                <w:szCs w:val="70"/>
              </w:rPr>
            </w:pPr>
            <w:r>
              <w:rPr>
                <w:b/>
                <w:bCs/>
                <w:color w:val="92D050"/>
                <w:sz w:val="70"/>
                <w:szCs w:val="70"/>
              </w:rPr>
              <w:lastRenderedPageBreak/>
              <w:t xml:space="preserve">Eligible Project Costs </w:t>
            </w:r>
          </w:p>
        </w:tc>
      </w:tr>
      <w:tr w:rsidR="005D6429" w14:paraId="60F2F2E4" w14:textId="77777777" w:rsidTr="005D6429">
        <w:trPr>
          <w:trHeight w:val="534"/>
        </w:trPr>
        <w:tc>
          <w:tcPr>
            <w:tcW w:w="3882" w:type="dxa"/>
          </w:tcPr>
          <w:p w14:paraId="1620DBAB" w14:textId="77777777" w:rsidR="005D6429" w:rsidRDefault="005D6429">
            <w:pPr>
              <w:pStyle w:val="Default"/>
              <w:rPr>
                <w:sz w:val="23"/>
                <w:szCs w:val="23"/>
              </w:rPr>
            </w:pPr>
            <w:r>
              <w:rPr>
                <w:sz w:val="23"/>
                <w:szCs w:val="23"/>
              </w:rPr>
              <w:t xml:space="preserve">Venue/Room Hire/Meeting Costs </w:t>
            </w:r>
          </w:p>
        </w:tc>
        <w:tc>
          <w:tcPr>
            <w:tcW w:w="6946" w:type="dxa"/>
          </w:tcPr>
          <w:p w14:paraId="0597FEC6" w14:textId="77777777" w:rsidR="005D6429" w:rsidRDefault="005D6429" w:rsidP="005D6429">
            <w:pPr>
              <w:pStyle w:val="Default"/>
              <w:numPr>
                <w:ilvl w:val="0"/>
                <w:numId w:val="24"/>
              </w:numPr>
              <w:rPr>
                <w:sz w:val="23"/>
                <w:szCs w:val="23"/>
              </w:rPr>
            </w:pPr>
            <w:r>
              <w:rPr>
                <w:sz w:val="23"/>
                <w:szCs w:val="23"/>
              </w:rPr>
              <w:t xml:space="preserve">The rate per hour or per day should be used to calculate this cost. </w:t>
            </w:r>
          </w:p>
          <w:p w14:paraId="3315A8A1" w14:textId="77777777" w:rsidR="005D6429" w:rsidRDefault="005D6429" w:rsidP="005D6429">
            <w:pPr>
              <w:pStyle w:val="Default"/>
              <w:numPr>
                <w:ilvl w:val="0"/>
                <w:numId w:val="24"/>
              </w:numPr>
              <w:rPr>
                <w:sz w:val="23"/>
                <w:szCs w:val="23"/>
              </w:rPr>
            </w:pPr>
            <w:r>
              <w:rPr>
                <w:sz w:val="23"/>
                <w:szCs w:val="23"/>
              </w:rPr>
              <w:t xml:space="preserve">Third party only: reasonable and not excessive third party venue hire costs. </w:t>
            </w:r>
          </w:p>
        </w:tc>
      </w:tr>
      <w:tr w:rsidR="005D6429" w14:paraId="48915D78" w14:textId="77777777" w:rsidTr="005D6429">
        <w:trPr>
          <w:trHeight w:val="250"/>
        </w:trPr>
        <w:tc>
          <w:tcPr>
            <w:tcW w:w="3882" w:type="dxa"/>
          </w:tcPr>
          <w:p w14:paraId="635CFCD4" w14:textId="77777777" w:rsidR="005D6429" w:rsidRDefault="005D6429">
            <w:pPr>
              <w:pStyle w:val="Default"/>
              <w:rPr>
                <w:sz w:val="23"/>
                <w:szCs w:val="23"/>
              </w:rPr>
            </w:pPr>
            <w:r>
              <w:rPr>
                <w:sz w:val="23"/>
                <w:szCs w:val="23"/>
              </w:rPr>
              <w:t xml:space="preserve">Course Materials </w:t>
            </w:r>
          </w:p>
        </w:tc>
        <w:tc>
          <w:tcPr>
            <w:tcW w:w="6946" w:type="dxa"/>
          </w:tcPr>
          <w:p w14:paraId="015C2F5B" w14:textId="77777777" w:rsidR="005D6429" w:rsidRDefault="005D6429" w:rsidP="005D6429">
            <w:pPr>
              <w:pStyle w:val="Default"/>
              <w:numPr>
                <w:ilvl w:val="0"/>
                <w:numId w:val="23"/>
              </w:numPr>
              <w:rPr>
                <w:sz w:val="23"/>
                <w:szCs w:val="23"/>
              </w:rPr>
            </w:pPr>
            <w:r>
              <w:rPr>
                <w:sz w:val="23"/>
                <w:szCs w:val="23"/>
              </w:rPr>
              <w:t xml:space="preserve">Third party only and verifiable: the cost for the use of the organisations own photocopier is not eligible. </w:t>
            </w:r>
          </w:p>
        </w:tc>
      </w:tr>
      <w:tr w:rsidR="005D6429" w14:paraId="321BAED8" w14:textId="77777777" w:rsidTr="005D6429">
        <w:trPr>
          <w:trHeight w:val="249"/>
        </w:trPr>
        <w:tc>
          <w:tcPr>
            <w:tcW w:w="3882" w:type="dxa"/>
          </w:tcPr>
          <w:p w14:paraId="0BBBB344" w14:textId="77777777" w:rsidR="005D6429" w:rsidRDefault="005D6429">
            <w:pPr>
              <w:pStyle w:val="Default"/>
              <w:rPr>
                <w:sz w:val="23"/>
                <w:szCs w:val="23"/>
              </w:rPr>
            </w:pPr>
            <w:r>
              <w:rPr>
                <w:sz w:val="23"/>
                <w:szCs w:val="23"/>
              </w:rPr>
              <w:t xml:space="preserve">Tutors/Facilitators/Consultants </w:t>
            </w:r>
          </w:p>
        </w:tc>
        <w:tc>
          <w:tcPr>
            <w:tcW w:w="6946" w:type="dxa"/>
          </w:tcPr>
          <w:p w14:paraId="3AD90182" w14:textId="77777777" w:rsidR="005D6429" w:rsidRDefault="005D6429" w:rsidP="005D6429">
            <w:pPr>
              <w:pStyle w:val="Default"/>
              <w:numPr>
                <w:ilvl w:val="0"/>
                <w:numId w:val="22"/>
              </w:numPr>
              <w:rPr>
                <w:sz w:val="23"/>
                <w:szCs w:val="23"/>
              </w:rPr>
            </w:pPr>
            <w:r>
              <w:rPr>
                <w:sz w:val="23"/>
                <w:szCs w:val="23"/>
              </w:rPr>
              <w:t xml:space="preserve">Third party only e.g., hourly rate and number of full-time equivalents used to calculate the cost. </w:t>
            </w:r>
          </w:p>
        </w:tc>
      </w:tr>
      <w:tr w:rsidR="005D6429" w14:paraId="73371873" w14:textId="77777777" w:rsidTr="005D6429">
        <w:trPr>
          <w:trHeight w:val="250"/>
        </w:trPr>
        <w:tc>
          <w:tcPr>
            <w:tcW w:w="3882" w:type="dxa"/>
          </w:tcPr>
          <w:p w14:paraId="6B0F6D68" w14:textId="77777777" w:rsidR="005D6429" w:rsidRDefault="005D6429">
            <w:pPr>
              <w:pStyle w:val="Default"/>
              <w:rPr>
                <w:sz w:val="23"/>
                <w:szCs w:val="23"/>
              </w:rPr>
            </w:pPr>
            <w:r>
              <w:rPr>
                <w:sz w:val="23"/>
                <w:szCs w:val="23"/>
              </w:rPr>
              <w:t xml:space="preserve">Publicity and Marketing </w:t>
            </w:r>
          </w:p>
        </w:tc>
        <w:tc>
          <w:tcPr>
            <w:tcW w:w="6946" w:type="dxa"/>
          </w:tcPr>
          <w:p w14:paraId="49E51FEC" w14:textId="77777777" w:rsidR="005D6429" w:rsidRDefault="005D6429" w:rsidP="005D6429">
            <w:pPr>
              <w:pStyle w:val="Default"/>
              <w:numPr>
                <w:ilvl w:val="0"/>
                <w:numId w:val="21"/>
              </w:numPr>
              <w:rPr>
                <w:sz w:val="23"/>
                <w:szCs w:val="23"/>
              </w:rPr>
            </w:pPr>
            <w:r>
              <w:rPr>
                <w:sz w:val="23"/>
                <w:szCs w:val="23"/>
              </w:rPr>
              <w:t xml:space="preserve">Third party only e.g., hourly rate and number of full-time equivalents used to calculate the cost. </w:t>
            </w:r>
          </w:p>
          <w:p w14:paraId="7606855C" w14:textId="77777777" w:rsidR="005D6429" w:rsidRDefault="005D6429">
            <w:pPr>
              <w:pStyle w:val="Default"/>
              <w:rPr>
                <w:sz w:val="23"/>
                <w:szCs w:val="23"/>
              </w:rPr>
            </w:pPr>
          </w:p>
        </w:tc>
      </w:tr>
      <w:tr w:rsidR="005D6429" w14:paraId="34AE1012" w14:textId="77777777" w:rsidTr="005D6429">
        <w:trPr>
          <w:trHeight w:val="250"/>
        </w:trPr>
        <w:tc>
          <w:tcPr>
            <w:tcW w:w="3882" w:type="dxa"/>
          </w:tcPr>
          <w:p w14:paraId="23B1E1B3" w14:textId="77777777" w:rsidR="005D6429" w:rsidRDefault="005D6429">
            <w:pPr>
              <w:pStyle w:val="Default"/>
              <w:rPr>
                <w:sz w:val="23"/>
                <w:szCs w:val="23"/>
              </w:rPr>
            </w:pPr>
            <w:r>
              <w:rPr>
                <w:sz w:val="23"/>
                <w:szCs w:val="23"/>
              </w:rPr>
              <w:t xml:space="preserve">Merchandising </w:t>
            </w:r>
          </w:p>
        </w:tc>
        <w:tc>
          <w:tcPr>
            <w:tcW w:w="6946" w:type="dxa"/>
          </w:tcPr>
          <w:p w14:paraId="7A2C557C" w14:textId="6BACD3E4" w:rsidR="005D6429" w:rsidRDefault="005D6429" w:rsidP="005D6429">
            <w:pPr>
              <w:pStyle w:val="Default"/>
              <w:numPr>
                <w:ilvl w:val="0"/>
                <w:numId w:val="20"/>
              </w:numPr>
              <w:rPr>
                <w:sz w:val="23"/>
                <w:szCs w:val="23"/>
              </w:rPr>
            </w:pPr>
            <w:r>
              <w:rPr>
                <w:sz w:val="23"/>
                <w:szCs w:val="23"/>
              </w:rPr>
              <w:t>For more information, please refer to brand guidelines</w:t>
            </w:r>
            <w:r w:rsidR="00944329">
              <w:rPr>
                <w:sz w:val="23"/>
                <w:szCs w:val="23"/>
              </w:rPr>
              <w:t xml:space="preserve"> (please contact Healthy Meath if these are needed)</w:t>
            </w:r>
            <w:r>
              <w:rPr>
                <w:sz w:val="23"/>
                <w:szCs w:val="23"/>
              </w:rPr>
              <w:t xml:space="preserve"> for eligible costs/activities, and the ineligible costs section below. </w:t>
            </w:r>
          </w:p>
          <w:p w14:paraId="11D85E80" w14:textId="77777777" w:rsidR="005D6429" w:rsidRDefault="005D6429">
            <w:pPr>
              <w:pStyle w:val="Default"/>
              <w:rPr>
                <w:sz w:val="23"/>
                <w:szCs w:val="23"/>
              </w:rPr>
            </w:pPr>
          </w:p>
        </w:tc>
      </w:tr>
      <w:tr w:rsidR="005D6429" w14:paraId="5FB943A6" w14:textId="77777777" w:rsidTr="005D6429">
        <w:trPr>
          <w:trHeight w:val="249"/>
        </w:trPr>
        <w:tc>
          <w:tcPr>
            <w:tcW w:w="3882" w:type="dxa"/>
          </w:tcPr>
          <w:p w14:paraId="14AB4587" w14:textId="77777777" w:rsidR="005D6429" w:rsidRDefault="005D6429">
            <w:pPr>
              <w:pStyle w:val="Default"/>
              <w:rPr>
                <w:sz w:val="23"/>
                <w:szCs w:val="23"/>
              </w:rPr>
            </w:pPr>
            <w:r>
              <w:rPr>
                <w:sz w:val="23"/>
                <w:szCs w:val="23"/>
              </w:rPr>
              <w:t xml:space="preserve">Volunteer Expenses </w:t>
            </w:r>
          </w:p>
        </w:tc>
        <w:tc>
          <w:tcPr>
            <w:tcW w:w="6946" w:type="dxa"/>
          </w:tcPr>
          <w:p w14:paraId="09970E5C" w14:textId="77777777" w:rsidR="005D6429" w:rsidRDefault="005D6429" w:rsidP="005D6429">
            <w:pPr>
              <w:pStyle w:val="Default"/>
              <w:numPr>
                <w:ilvl w:val="0"/>
                <w:numId w:val="19"/>
              </w:numPr>
              <w:rPr>
                <w:sz w:val="23"/>
                <w:szCs w:val="23"/>
              </w:rPr>
            </w:pPr>
            <w:r>
              <w:rPr>
                <w:sz w:val="23"/>
                <w:szCs w:val="23"/>
              </w:rPr>
              <w:t xml:space="preserve">Based on organisation’s volunteer policy and must be verifiable e.g., by signed receipts. </w:t>
            </w:r>
          </w:p>
          <w:p w14:paraId="030E8963" w14:textId="77777777" w:rsidR="005D6429" w:rsidRDefault="005D6429">
            <w:pPr>
              <w:pStyle w:val="Default"/>
              <w:rPr>
                <w:sz w:val="23"/>
                <w:szCs w:val="23"/>
              </w:rPr>
            </w:pPr>
          </w:p>
        </w:tc>
      </w:tr>
      <w:tr w:rsidR="005D6429" w14:paraId="77C4A73F" w14:textId="77777777" w:rsidTr="005D6429">
        <w:trPr>
          <w:trHeight w:val="250"/>
        </w:trPr>
        <w:tc>
          <w:tcPr>
            <w:tcW w:w="3882" w:type="dxa"/>
          </w:tcPr>
          <w:p w14:paraId="61652959" w14:textId="77777777" w:rsidR="005D6429" w:rsidRDefault="005D6429">
            <w:pPr>
              <w:pStyle w:val="Default"/>
              <w:rPr>
                <w:sz w:val="23"/>
                <w:szCs w:val="23"/>
              </w:rPr>
            </w:pPr>
            <w:r>
              <w:rPr>
                <w:sz w:val="23"/>
                <w:szCs w:val="23"/>
              </w:rPr>
              <w:t xml:space="preserve">Equipment </w:t>
            </w:r>
          </w:p>
        </w:tc>
        <w:tc>
          <w:tcPr>
            <w:tcW w:w="6946" w:type="dxa"/>
          </w:tcPr>
          <w:p w14:paraId="00F01759" w14:textId="77777777" w:rsidR="005D6429" w:rsidRDefault="005D6429" w:rsidP="005D6429">
            <w:pPr>
              <w:pStyle w:val="Default"/>
              <w:numPr>
                <w:ilvl w:val="0"/>
                <w:numId w:val="19"/>
              </w:numPr>
              <w:rPr>
                <w:sz w:val="23"/>
                <w:szCs w:val="23"/>
              </w:rPr>
            </w:pPr>
            <w:r>
              <w:rPr>
                <w:sz w:val="23"/>
                <w:szCs w:val="23"/>
              </w:rPr>
              <w:t xml:space="preserve">Third party costs and verifiable which is essential for the delivery of the action. e.g., sports, playground, library, cooking etc </w:t>
            </w:r>
          </w:p>
          <w:p w14:paraId="15BC66E9" w14:textId="77777777" w:rsidR="005D6429" w:rsidRDefault="005D6429">
            <w:pPr>
              <w:pStyle w:val="Default"/>
              <w:rPr>
                <w:sz w:val="23"/>
                <w:szCs w:val="23"/>
              </w:rPr>
            </w:pPr>
          </w:p>
        </w:tc>
      </w:tr>
      <w:tr w:rsidR="005D6429" w14:paraId="355A53FC" w14:textId="77777777" w:rsidTr="005D6429">
        <w:trPr>
          <w:trHeight w:val="363"/>
        </w:trPr>
        <w:tc>
          <w:tcPr>
            <w:tcW w:w="3882" w:type="dxa"/>
          </w:tcPr>
          <w:p w14:paraId="4E5126D7" w14:textId="77777777" w:rsidR="005D6429" w:rsidRDefault="005D6429">
            <w:pPr>
              <w:pStyle w:val="Default"/>
              <w:rPr>
                <w:sz w:val="23"/>
                <w:szCs w:val="23"/>
              </w:rPr>
            </w:pPr>
            <w:r>
              <w:rPr>
                <w:sz w:val="23"/>
                <w:szCs w:val="23"/>
              </w:rPr>
              <w:t xml:space="preserve">Material aids for participation in sport or physical activity </w:t>
            </w:r>
          </w:p>
        </w:tc>
        <w:tc>
          <w:tcPr>
            <w:tcW w:w="6946" w:type="dxa"/>
          </w:tcPr>
          <w:p w14:paraId="1A4BED96" w14:textId="77777777" w:rsidR="005D6429" w:rsidRDefault="005D6429" w:rsidP="005D6429">
            <w:pPr>
              <w:pStyle w:val="Default"/>
              <w:numPr>
                <w:ilvl w:val="0"/>
                <w:numId w:val="18"/>
              </w:numPr>
              <w:rPr>
                <w:sz w:val="23"/>
                <w:szCs w:val="23"/>
              </w:rPr>
            </w:pPr>
            <w:r>
              <w:rPr>
                <w:sz w:val="23"/>
                <w:szCs w:val="23"/>
              </w:rPr>
              <w:t xml:space="preserve">Third party costs and verifiable which is essential for the delivery of the action. e.g., sports, playground, library, cooking etc </w:t>
            </w:r>
          </w:p>
          <w:p w14:paraId="6DE6410C" w14:textId="77777777" w:rsidR="005D6429" w:rsidRDefault="005D6429">
            <w:pPr>
              <w:pStyle w:val="Default"/>
              <w:rPr>
                <w:sz w:val="23"/>
                <w:szCs w:val="23"/>
              </w:rPr>
            </w:pPr>
          </w:p>
        </w:tc>
      </w:tr>
      <w:tr w:rsidR="005D6429" w14:paraId="2E93B77E" w14:textId="77777777" w:rsidTr="005D6429">
        <w:trPr>
          <w:trHeight w:val="819"/>
        </w:trPr>
        <w:tc>
          <w:tcPr>
            <w:tcW w:w="3882" w:type="dxa"/>
          </w:tcPr>
          <w:p w14:paraId="6554B04E" w14:textId="77777777" w:rsidR="005D6429" w:rsidRDefault="005D6429">
            <w:pPr>
              <w:pStyle w:val="Default"/>
              <w:rPr>
                <w:sz w:val="23"/>
                <w:szCs w:val="23"/>
              </w:rPr>
            </w:pPr>
            <w:r>
              <w:rPr>
                <w:sz w:val="23"/>
                <w:szCs w:val="23"/>
              </w:rPr>
              <w:t xml:space="preserve">Researchers </w:t>
            </w:r>
          </w:p>
        </w:tc>
        <w:tc>
          <w:tcPr>
            <w:tcW w:w="6946" w:type="dxa"/>
          </w:tcPr>
          <w:p w14:paraId="7CFC7E4B" w14:textId="77777777" w:rsidR="005D6429" w:rsidRDefault="005D6429" w:rsidP="005D6429">
            <w:pPr>
              <w:pStyle w:val="Default"/>
              <w:numPr>
                <w:ilvl w:val="0"/>
                <w:numId w:val="17"/>
              </w:numPr>
              <w:rPr>
                <w:sz w:val="23"/>
                <w:szCs w:val="23"/>
              </w:rPr>
            </w:pPr>
            <w:r>
              <w:rPr>
                <w:sz w:val="23"/>
                <w:szCs w:val="23"/>
              </w:rPr>
              <w:t xml:space="preserve">E.g., hourly rate and number of full-time equivalents used to calculate the cost. </w:t>
            </w:r>
          </w:p>
          <w:p w14:paraId="7D85FAE7" w14:textId="77777777" w:rsidR="005D6429" w:rsidRDefault="005D6429" w:rsidP="005D6429">
            <w:pPr>
              <w:pStyle w:val="Default"/>
              <w:numPr>
                <w:ilvl w:val="0"/>
                <w:numId w:val="17"/>
              </w:numPr>
              <w:rPr>
                <w:sz w:val="23"/>
                <w:szCs w:val="23"/>
              </w:rPr>
            </w:pPr>
            <w:r>
              <w:rPr>
                <w:sz w:val="23"/>
                <w:szCs w:val="23"/>
              </w:rPr>
              <w:t xml:space="preserve">Research proposals require a good governance framework to be in place i.e., HSE Research Governance Framework. </w:t>
            </w:r>
          </w:p>
          <w:p w14:paraId="17F77345" w14:textId="77777777" w:rsidR="005D6429" w:rsidRDefault="005D6429" w:rsidP="005D6429">
            <w:pPr>
              <w:pStyle w:val="Default"/>
              <w:numPr>
                <w:ilvl w:val="0"/>
                <w:numId w:val="17"/>
              </w:numPr>
              <w:rPr>
                <w:sz w:val="23"/>
                <w:szCs w:val="23"/>
              </w:rPr>
            </w:pPr>
            <w:r>
              <w:rPr>
                <w:sz w:val="23"/>
                <w:szCs w:val="23"/>
              </w:rPr>
              <w:t xml:space="preserve">Research must not represent duplication of existing HIF resources. </w:t>
            </w:r>
          </w:p>
          <w:p w14:paraId="0B0DE195" w14:textId="77777777" w:rsidR="005D6429" w:rsidRDefault="005D6429">
            <w:pPr>
              <w:pStyle w:val="Default"/>
              <w:rPr>
                <w:sz w:val="23"/>
                <w:szCs w:val="23"/>
              </w:rPr>
            </w:pPr>
          </w:p>
        </w:tc>
      </w:tr>
      <w:tr w:rsidR="005D6429" w14:paraId="5B89E3A7" w14:textId="77777777" w:rsidTr="005D6429">
        <w:trPr>
          <w:trHeight w:val="533"/>
        </w:trPr>
        <w:tc>
          <w:tcPr>
            <w:tcW w:w="3882" w:type="dxa"/>
          </w:tcPr>
          <w:p w14:paraId="73F3369C" w14:textId="77777777" w:rsidR="005D6429" w:rsidRDefault="005D6429">
            <w:pPr>
              <w:pStyle w:val="Default"/>
              <w:rPr>
                <w:sz w:val="23"/>
                <w:szCs w:val="23"/>
              </w:rPr>
            </w:pPr>
            <w:r>
              <w:rPr>
                <w:sz w:val="23"/>
                <w:szCs w:val="23"/>
              </w:rPr>
              <w:t xml:space="preserve">Third party evaluation costs </w:t>
            </w:r>
          </w:p>
        </w:tc>
        <w:tc>
          <w:tcPr>
            <w:tcW w:w="6946" w:type="dxa"/>
          </w:tcPr>
          <w:p w14:paraId="5482F6B5" w14:textId="77777777" w:rsidR="005D6429" w:rsidRDefault="005D6429" w:rsidP="005D6429">
            <w:pPr>
              <w:pStyle w:val="Default"/>
              <w:numPr>
                <w:ilvl w:val="0"/>
                <w:numId w:val="16"/>
              </w:numPr>
              <w:rPr>
                <w:sz w:val="23"/>
                <w:szCs w:val="23"/>
              </w:rPr>
            </w:pPr>
            <w:r>
              <w:rPr>
                <w:color w:val="auto"/>
              </w:rPr>
              <w:t>T</w:t>
            </w:r>
            <w:r>
              <w:rPr>
                <w:sz w:val="23"/>
                <w:szCs w:val="23"/>
              </w:rPr>
              <w:t xml:space="preserve">hese costs are directly related to evaluating the activities outlined in the grant agreement. </w:t>
            </w:r>
          </w:p>
          <w:p w14:paraId="3F3F574B" w14:textId="77777777" w:rsidR="005D6429" w:rsidRDefault="005D6429" w:rsidP="005D6429">
            <w:pPr>
              <w:pStyle w:val="Default"/>
              <w:numPr>
                <w:ilvl w:val="0"/>
                <w:numId w:val="16"/>
              </w:numPr>
              <w:ind w:right="697"/>
              <w:rPr>
                <w:sz w:val="23"/>
                <w:szCs w:val="23"/>
              </w:rPr>
            </w:pPr>
            <w:r>
              <w:rPr>
                <w:sz w:val="23"/>
                <w:szCs w:val="23"/>
              </w:rPr>
              <w:t xml:space="preserve">Any costs relating to evaluation must be proportionate to the level of funding </w:t>
            </w:r>
          </w:p>
          <w:p w14:paraId="7C04B468" w14:textId="77777777" w:rsidR="005D6429" w:rsidRDefault="005D6429">
            <w:pPr>
              <w:pStyle w:val="Default"/>
              <w:rPr>
                <w:sz w:val="23"/>
                <w:szCs w:val="23"/>
              </w:rPr>
            </w:pPr>
          </w:p>
        </w:tc>
      </w:tr>
    </w:tbl>
    <w:p w14:paraId="53EF70D5" w14:textId="77777777" w:rsidR="005D6429" w:rsidRDefault="005D6429">
      <w:pPr>
        <w:rPr>
          <w:rFonts w:ascii="Arial" w:hAnsi="Arial" w:cs="Arial"/>
          <w:color w:val="000000"/>
          <w:sz w:val="23"/>
          <w:szCs w:val="23"/>
          <w:lang w:val="en-GB"/>
        </w:rPr>
      </w:pPr>
      <w:r>
        <w:rPr>
          <w:sz w:val="23"/>
          <w:szCs w:val="23"/>
        </w:rPr>
        <w:br w:type="page"/>
      </w:r>
    </w:p>
    <w:p w14:paraId="23C87C30" w14:textId="77777777" w:rsidR="007A7CFC" w:rsidRDefault="007A7CFC" w:rsidP="007A7CFC">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5"/>
      </w:tblGrid>
      <w:tr w:rsidR="007A7CFC" w14:paraId="091F65AE" w14:textId="77777777" w:rsidTr="007A7CFC">
        <w:trPr>
          <w:trHeight w:val="328"/>
        </w:trPr>
        <w:tc>
          <w:tcPr>
            <w:tcW w:w="8705" w:type="dxa"/>
          </w:tcPr>
          <w:p w14:paraId="5D510AFD" w14:textId="77777777" w:rsidR="007A7CFC" w:rsidRDefault="007A7CFC">
            <w:pPr>
              <w:pStyle w:val="Default"/>
              <w:rPr>
                <w:color w:val="92D050"/>
                <w:sz w:val="70"/>
                <w:szCs w:val="70"/>
              </w:rPr>
            </w:pPr>
            <w:r>
              <w:rPr>
                <w:b/>
                <w:bCs/>
                <w:color w:val="92D050"/>
                <w:sz w:val="70"/>
                <w:szCs w:val="70"/>
              </w:rPr>
              <w:t xml:space="preserve">Ineligible Project Costs </w:t>
            </w:r>
          </w:p>
        </w:tc>
      </w:tr>
      <w:tr w:rsidR="007A7CFC" w14:paraId="581435B7" w14:textId="77777777" w:rsidTr="007A7CFC">
        <w:trPr>
          <w:trHeight w:val="4277"/>
        </w:trPr>
        <w:tc>
          <w:tcPr>
            <w:tcW w:w="8705" w:type="dxa"/>
          </w:tcPr>
          <w:p w14:paraId="148C688E" w14:textId="77777777" w:rsidR="007A7CFC" w:rsidRDefault="007A7CFC" w:rsidP="007A7CFC">
            <w:pPr>
              <w:pStyle w:val="Default"/>
              <w:numPr>
                <w:ilvl w:val="0"/>
                <w:numId w:val="5"/>
              </w:numPr>
              <w:rPr>
                <w:sz w:val="23"/>
                <w:szCs w:val="23"/>
              </w:rPr>
            </w:pPr>
            <w:r>
              <w:rPr>
                <w:sz w:val="23"/>
                <w:szCs w:val="23"/>
              </w:rPr>
              <w:t xml:space="preserve">Outsourcing of the planning process for HIF Round 4, to an external contractor/researcher. </w:t>
            </w:r>
          </w:p>
          <w:p w14:paraId="6993C6BB" w14:textId="77777777" w:rsidR="007A7CFC" w:rsidRDefault="007A7CFC" w:rsidP="007A7CFC">
            <w:pPr>
              <w:pStyle w:val="Default"/>
              <w:numPr>
                <w:ilvl w:val="0"/>
                <w:numId w:val="5"/>
              </w:numPr>
              <w:rPr>
                <w:sz w:val="23"/>
                <w:szCs w:val="23"/>
              </w:rPr>
            </w:pPr>
            <w:r>
              <w:rPr>
                <w:sz w:val="23"/>
                <w:szCs w:val="23"/>
              </w:rPr>
              <w:t xml:space="preserve">Social Prescribing. </w:t>
            </w:r>
          </w:p>
          <w:p w14:paraId="653BE825" w14:textId="77777777" w:rsidR="007A7CFC" w:rsidRDefault="007A7CFC" w:rsidP="007A7CFC">
            <w:pPr>
              <w:pStyle w:val="Default"/>
              <w:numPr>
                <w:ilvl w:val="0"/>
                <w:numId w:val="5"/>
              </w:numPr>
              <w:rPr>
                <w:sz w:val="23"/>
                <w:szCs w:val="23"/>
              </w:rPr>
            </w:pPr>
            <w:r>
              <w:rPr>
                <w:sz w:val="23"/>
                <w:szCs w:val="23"/>
              </w:rPr>
              <w:t xml:space="preserve">Recruitment costs. </w:t>
            </w:r>
          </w:p>
          <w:p w14:paraId="4645C914" w14:textId="77777777" w:rsidR="007A7CFC" w:rsidRDefault="007A7CFC" w:rsidP="007A7CFC">
            <w:pPr>
              <w:pStyle w:val="Default"/>
              <w:numPr>
                <w:ilvl w:val="0"/>
                <w:numId w:val="5"/>
              </w:numPr>
              <w:rPr>
                <w:sz w:val="23"/>
                <w:szCs w:val="23"/>
              </w:rPr>
            </w:pPr>
            <w:r>
              <w:rPr>
                <w:sz w:val="23"/>
                <w:szCs w:val="23"/>
              </w:rPr>
              <w:t xml:space="preserve">Costs associated with the grantee’s own facilities e.g., meeting room(s), photocopier. </w:t>
            </w:r>
          </w:p>
          <w:p w14:paraId="7E3FE4D8" w14:textId="77777777" w:rsidR="007A7CFC" w:rsidRDefault="007A7CFC" w:rsidP="007A7CFC">
            <w:pPr>
              <w:pStyle w:val="Default"/>
              <w:numPr>
                <w:ilvl w:val="0"/>
                <w:numId w:val="5"/>
              </w:numPr>
              <w:rPr>
                <w:sz w:val="23"/>
                <w:szCs w:val="23"/>
              </w:rPr>
            </w:pPr>
            <w:r>
              <w:rPr>
                <w:sz w:val="23"/>
                <w:szCs w:val="23"/>
              </w:rPr>
              <w:t xml:space="preserve">Retrospective costs i.e., expenditure incurred before funding is approved. </w:t>
            </w:r>
          </w:p>
          <w:p w14:paraId="743B37D7" w14:textId="77777777" w:rsidR="007A7CFC" w:rsidRDefault="007A7CFC" w:rsidP="007A7CFC">
            <w:pPr>
              <w:pStyle w:val="Default"/>
              <w:numPr>
                <w:ilvl w:val="0"/>
                <w:numId w:val="5"/>
              </w:numPr>
              <w:rPr>
                <w:sz w:val="23"/>
                <w:szCs w:val="23"/>
              </w:rPr>
            </w:pPr>
            <w:r>
              <w:rPr>
                <w:sz w:val="23"/>
                <w:szCs w:val="23"/>
              </w:rPr>
              <w:t xml:space="preserve">VAT costs (where the VAT costs can be re-claimed from Revenue) </w:t>
            </w:r>
          </w:p>
          <w:p w14:paraId="1EDA193C" w14:textId="77777777" w:rsidR="007A7CFC" w:rsidRDefault="007A7CFC" w:rsidP="007A7CFC">
            <w:pPr>
              <w:pStyle w:val="Default"/>
              <w:numPr>
                <w:ilvl w:val="0"/>
                <w:numId w:val="5"/>
              </w:numPr>
              <w:rPr>
                <w:sz w:val="23"/>
                <w:szCs w:val="23"/>
              </w:rPr>
            </w:pPr>
            <w:r>
              <w:rPr>
                <w:sz w:val="23"/>
                <w:szCs w:val="23"/>
              </w:rPr>
              <w:t xml:space="preserve">Bank charges such as interest costs, fines, financial penalties, and legal dispute costs </w:t>
            </w:r>
          </w:p>
          <w:p w14:paraId="3006DC74" w14:textId="77777777" w:rsidR="007A7CFC" w:rsidRDefault="007A7CFC" w:rsidP="007A7CFC">
            <w:pPr>
              <w:pStyle w:val="Default"/>
              <w:numPr>
                <w:ilvl w:val="0"/>
                <w:numId w:val="5"/>
              </w:numPr>
              <w:rPr>
                <w:sz w:val="23"/>
                <w:szCs w:val="23"/>
              </w:rPr>
            </w:pPr>
            <w:r>
              <w:rPr>
                <w:sz w:val="23"/>
                <w:szCs w:val="23"/>
              </w:rPr>
              <w:t xml:space="preserve">Funds to build up reserves or a surplus. </w:t>
            </w:r>
          </w:p>
          <w:p w14:paraId="124416D3" w14:textId="77777777" w:rsidR="007A7CFC" w:rsidRDefault="007A7CFC" w:rsidP="007A7CFC">
            <w:pPr>
              <w:pStyle w:val="Default"/>
              <w:numPr>
                <w:ilvl w:val="0"/>
                <w:numId w:val="5"/>
              </w:numPr>
              <w:rPr>
                <w:sz w:val="23"/>
                <w:szCs w:val="23"/>
              </w:rPr>
            </w:pPr>
            <w:r>
              <w:rPr>
                <w:sz w:val="23"/>
                <w:szCs w:val="23"/>
              </w:rPr>
              <w:t xml:space="preserve">Sponsorship and charitable donations </w:t>
            </w:r>
          </w:p>
          <w:p w14:paraId="592C5778" w14:textId="77777777" w:rsidR="007A7CFC" w:rsidRDefault="007A7CFC" w:rsidP="007A7CFC">
            <w:pPr>
              <w:pStyle w:val="Default"/>
              <w:numPr>
                <w:ilvl w:val="0"/>
                <w:numId w:val="5"/>
              </w:numPr>
              <w:rPr>
                <w:sz w:val="23"/>
                <w:szCs w:val="23"/>
              </w:rPr>
            </w:pPr>
            <w:r>
              <w:rPr>
                <w:sz w:val="23"/>
                <w:szCs w:val="23"/>
              </w:rPr>
              <w:t xml:space="preserve">Vehicles or other mobile assets not directly linked to eligible activities. This includes the costs associated with the procurement of such items. </w:t>
            </w:r>
          </w:p>
          <w:p w14:paraId="152486FD" w14:textId="77777777" w:rsidR="007A7CFC" w:rsidRDefault="007A7CFC" w:rsidP="007A7CFC">
            <w:pPr>
              <w:pStyle w:val="Default"/>
              <w:numPr>
                <w:ilvl w:val="0"/>
                <w:numId w:val="5"/>
              </w:numPr>
              <w:rPr>
                <w:sz w:val="23"/>
                <w:szCs w:val="23"/>
              </w:rPr>
            </w:pPr>
            <w:r>
              <w:rPr>
                <w:sz w:val="23"/>
                <w:szCs w:val="23"/>
              </w:rPr>
              <w:t xml:space="preserve">The purchase of land, buildings and/or large-scale refurbishment of buildings including schools </w:t>
            </w:r>
          </w:p>
          <w:p w14:paraId="355B5D12" w14:textId="77777777" w:rsidR="007A7CFC" w:rsidRDefault="007A7CFC" w:rsidP="007A7CFC">
            <w:pPr>
              <w:pStyle w:val="Default"/>
              <w:numPr>
                <w:ilvl w:val="0"/>
                <w:numId w:val="5"/>
              </w:numPr>
              <w:rPr>
                <w:sz w:val="23"/>
                <w:szCs w:val="23"/>
              </w:rPr>
            </w:pPr>
            <w:r>
              <w:rPr>
                <w:sz w:val="23"/>
                <w:szCs w:val="23"/>
              </w:rPr>
              <w:t xml:space="preserve">Routine repairs and maintenance of buildings </w:t>
            </w:r>
          </w:p>
          <w:p w14:paraId="0D0E481F" w14:textId="77777777" w:rsidR="007A7CFC" w:rsidRDefault="007A7CFC" w:rsidP="007A7CFC">
            <w:pPr>
              <w:pStyle w:val="Default"/>
              <w:numPr>
                <w:ilvl w:val="0"/>
                <w:numId w:val="5"/>
              </w:numPr>
              <w:rPr>
                <w:sz w:val="23"/>
                <w:szCs w:val="23"/>
              </w:rPr>
            </w:pPr>
            <w:r>
              <w:rPr>
                <w:sz w:val="23"/>
                <w:szCs w:val="23"/>
              </w:rPr>
              <w:t xml:space="preserve">Single use plastics as part of merchandising costs such as forks, balloons, and straws </w:t>
            </w:r>
          </w:p>
          <w:p w14:paraId="77F172CC" w14:textId="77777777" w:rsidR="007A7CFC" w:rsidRDefault="007A7CFC" w:rsidP="007A7CFC">
            <w:pPr>
              <w:pStyle w:val="Default"/>
              <w:numPr>
                <w:ilvl w:val="0"/>
                <w:numId w:val="5"/>
              </w:numPr>
              <w:rPr>
                <w:sz w:val="23"/>
                <w:szCs w:val="23"/>
              </w:rPr>
            </w:pPr>
            <w:r>
              <w:rPr>
                <w:sz w:val="23"/>
                <w:szCs w:val="23"/>
              </w:rPr>
              <w:t xml:space="preserve">Notional costs or opportunity costs i.e., all costs must be real costs that are paid out to a third party. </w:t>
            </w:r>
          </w:p>
          <w:p w14:paraId="04CDFC64" w14:textId="77777777" w:rsidR="007A7CFC" w:rsidRDefault="007A7CFC" w:rsidP="007A7CFC">
            <w:pPr>
              <w:pStyle w:val="Default"/>
              <w:numPr>
                <w:ilvl w:val="0"/>
                <w:numId w:val="5"/>
              </w:numPr>
              <w:rPr>
                <w:sz w:val="23"/>
                <w:szCs w:val="23"/>
              </w:rPr>
            </w:pPr>
            <w:r>
              <w:rPr>
                <w:sz w:val="23"/>
                <w:szCs w:val="23"/>
              </w:rPr>
              <w:t xml:space="preserve">Staffing costs not associated with the project proposal. </w:t>
            </w:r>
          </w:p>
          <w:p w14:paraId="6D583A9A" w14:textId="77777777" w:rsidR="007A7CFC" w:rsidRDefault="007A7CFC" w:rsidP="007A7CFC">
            <w:pPr>
              <w:pStyle w:val="Default"/>
              <w:numPr>
                <w:ilvl w:val="0"/>
                <w:numId w:val="5"/>
              </w:numPr>
              <w:rPr>
                <w:sz w:val="23"/>
                <w:szCs w:val="23"/>
              </w:rPr>
            </w:pPr>
            <w:r>
              <w:rPr>
                <w:sz w:val="23"/>
                <w:szCs w:val="23"/>
              </w:rPr>
              <w:t xml:space="preserve">Costs for staff, actions, equipment, and programmes already supported by statutory and public funding. </w:t>
            </w:r>
          </w:p>
          <w:p w14:paraId="6CCD2193" w14:textId="77777777" w:rsidR="007A7CFC" w:rsidRDefault="007A7CFC" w:rsidP="007A7CFC">
            <w:pPr>
              <w:pStyle w:val="Default"/>
              <w:numPr>
                <w:ilvl w:val="0"/>
                <w:numId w:val="5"/>
              </w:numPr>
              <w:rPr>
                <w:sz w:val="23"/>
                <w:szCs w:val="23"/>
              </w:rPr>
            </w:pPr>
            <w:r>
              <w:rPr>
                <w:sz w:val="23"/>
                <w:szCs w:val="23"/>
              </w:rPr>
              <w:t xml:space="preserve">Existing rental costs or space costs </w:t>
            </w:r>
          </w:p>
          <w:p w14:paraId="148DF985" w14:textId="77777777" w:rsidR="007A7CFC" w:rsidRDefault="007A7CFC" w:rsidP="007A7CFC">
            <w:pPr>
              <w:pStyle w:val="Default"/>
              <w:numPr>
                <w:ilvl w:val="0"/>
                <w:numId w:val="5"/>
              </w:numPr>
              <w:rPr>
                <w:sz w:val="23"/>
                <w:szCs w:val="23"/>
              </w:rPr>
            </w:pPr>
            <w:r>
              <w:rPr>
                <w:sz w:val="23"/>
                <w:szCs w:val="23"/>
              </w:rPr>
              <w:t xml:space="preserve">Redundancy costs </w:t>
            </w:r>
          </w:p>
          <w:p w14:paraId="25AA1333" w14:textId="77777777" w:rsidR="007A7CFC" w:rsidRDefault="007A7CFC" w:rsidP="007A7CFC">
            <w:pPr>
              <w:pStyle w:val="Default"/>
              <w:numPr>
                <w:ilvl w:val="0"/>
                <w:numId w:val="5"/>
              </w:numPr>
              <w:rPr>
                <w:sz w:val="23"/>
                <w:szCs w:val="23"/>
              </w:rPr>
            </w:pPr>
            <w:r>
              <w:rPr>
                <w:sz w:val="23"/>
                <w:szCs w:val="23"/>
              </w:rPr>
              <w:t xml:space="preserve">In-kind contributions: all costs must represent real costs that are paid out to a third party. </w:t>
            </w:r>
          </w:p>
          <w:p w14:paraId="08AF41A1" w14:textId="77777777" w:rsidR="007A7CFC" w:rsidRDefault="007A7CFC" w:rsidP="007A7CFC">
            <w:pPr>
              <w:pStyle w:val="Default"/>
              <w:numPr>
                <w:ilvl w:val="0"/>
                <w:numId w:val="5"/>
              </w:numPr>
              <w:rPr>
                <w:sz w:val="23"/>
                <w:szCs w:val="23"/>
              </w:rPr>
            </w:pPr>
            <w:r>
              <w:rPr>
                <w:sz w:val="23"/>
                <w:szCs w:val="23"/>
              </w:rPr>
              <w:t xml:space="preserve">Depreciation of fixed assets </w:t>
            </w:r>
          </w:p>
          <w:p w14:paraId="46757682" w14:textId="77777777" w:rsidR="007A7CFC" w:rsidRDefault="007A7CFC" w:rsidP="007A7CFC">
            <w:pPr>
              <w:pStyle w:val="Default"/>
              <w:numPr>
                <w:ilvl w:val="0"/>
                <w:numId w:val="5"/>
              </w:numPr>
              <w:rPr>
                <w:sz w:val="23"/>
                <w:szCs w:val="23"/>
              </w:rPr>
            </w:pPr>
            <w:r>
              <w:rPr>
                <w:sz w:val="23"/>
                <w:szCs w:val="23"/>
              </w:rPr>
              <w:t xml:space="preserve">Vouchers e.g., gift vouchers </w:t>
            </w:r>
          </w:p>
          <w:p w14:paraId="23503BD6" w14:textId="77777777" w:rsidR="007A7CFC" w:rsidRDefault="007A7CFC">
            <w:pPr>
              <w:pStyle w:val="Default"/>
              <w:rPr>
                <w:sz w:val="23"/>
                <w:szCs w:val="23"/>
              </w:rPr>
            </w:pPr>
          </w:p>
        </w:tc>
      </w:tr>
    </w:tbl>
    <w:p w14:paraId="1A5D976F" w14:textId="77777777" w:rsidR="007A7CFC" w:rsidRPr="007A7CFC" w:rsidRDefault="007A7CFC" w:rsidP="007A7CFC">
      <w:pPr>
        <w:pStyle w:val="Default"/>
      </w:pPr>
    </w:p>
    <w:p w14:paraId="13872AA9" w14:textId="77777777" w:rsidR="007A7CFC" w:rsidRPr="007A7CFC" w:rsidRDefault="007A7CFC" w:rsidP="007A7CFC">
      <w:pPr>
        <w:jc w:val="both"/>
        <w:rPr>
          <w:rFonts w:ascii="Arial" w:hAnsi="Arial" w:cs="Arial"/>
          <w:sz w:val="24"/>
          <w:szCs w:val="32"/>
        </w:rPr>
      </w:pPr>
      <w:r w:rsidRPr="007A7CFC">
        <w:rPr>
          <w:rFonts w:ascii="Arial" w:hAnsi="Arial" w:cs="Arial"/>
          <w:szCs w:val="23"/>
        </w:rPr>
        <w:t>The above table sets out ineligible costs under HIF Round 4. Any costs or overheads that someone else is paying for, whether in cash or in kind are not eligible. This is an indicative list of ineligible costs, it is not an exhaustive list so should grantees have any concerns regarding the eligibility of planned expenditure, please contact Healthy Meath for clarification in advance of incurring expenditure.</w:t>
      </w:r>
    </w:p>
    <w:sectPr w:rsidR="007A7CFC" w:rsidRPr="007A7CF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4A65" w14:textId="77777777" w:rsidR="00537686" w:rsidRDefault="00537686" w:rsidP="00537686">
      <w:pPr>
        <w:spacing w:after="0" w:line="240" w:lineRule="auto"/>
      </w:pPr>
      <w:r>
        <w:separator/>
      </w:r>
    </w:p>
  </w:endnote>
  <w:endnote w:type="continuationSeparator" w:id="0">
    <w:p w14:paraId="3F8AE13E" w14:textId="77777777" w:rsidR="00537686" w:rsidRDefault="00537686" w:rsidP="0053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031D" w14:textId="77777777" w:rsidR="005D6429" w:rsidRDefault="008B001C" w:rsidP="005D6429">
    <w:pPr>
      <w:jc w:val="center"/>
      <w:rPr>
        <w:rFonts w:ascii="Arial" w:hAnsi="Arial" w:cs="Arial"/>
        <w:i/>
        <w:sz w:val="28"/>
        <w:szCs w:val="32"/>
      </w:rPr>
    </w:pPr>
    <w:r>
      <w:rPr>
        <w:rFonts w:ascii="Arial" w:hAnsi="Arial" w:cs="Arial"/>
        <w:noProof/>
        <w:sz w:val="32"/>
        <w:szCs w:val="32"/>
      </w:rPr>
      <w:drawing>
        <wp:anchor distT="0" distB="0" distL="114300" distR="114300" simplePos="0" relativeHeight="251663360" behindDoc="0" locked="0" layoutInCell="1" allowOverlap="1" wp14:anchorId="08E4D5FA" wp14:editId="4DF17CC2">
          <wp:simplePos x="0" y="0"/>
          <wp:positionH relativeFrom="column">
            <wp:posOffset>1470660</wp:posOffset>
          </wp:positionH>
          <wp:positionV relativeFrom="paragraph">
            <wp:posOffset>208915</wp:posOffset>
          </wp:positionV>
          <wp:extent cx="1098550" cy="7696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Community Development Committee log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769620"/>
                  </a:xfrm>
                  <a:prstGeom prst="rect">
                    <a:avLst/>
                  </a:prstGeom>
                </pic:spPr>
              </pic:pic>
            </a:graphicData>
          </a:graphic>
          <wp14:sizeRelH relativeFrom="page">
            <wp14:pctWidth>0</wp14:pctWidth>
          </wp14:sizeRelH>
          <wp14:sizeRelV relativeFrom="page">
            <wp14:pctHeight>0</wp14:pctHeight>
          </wp14:sizeRelV>
        </wp:anchor>
      </w:drawing>
    </w:r>
  </w:p>
  <w:p w14:paraId="68596D56" w14:textId="77777777" w:rsidR="008B001C" w:rsidRDefault="008B001C" w:rsidP="005D6429">
    <w:pPr>
      <w:jc w:val="center"/>
      <w:rPr>
        <w:rFonts w:ascii="Arial" w:hAnsi="Arial" w:cs="Arial"/>
        <w:i/>
        <w:sz w:val="28"/>
        <w:szCs w:val="32"/>
      </w:rPr>
    </w:pPr>
    <w:r>
      <w:rPr>
        <w:rFonts w:ascii="Arial" w:hAnsi="Arial" w:cs="Arial"/>
        <w:noProof/>
        <w:sz w:val="32"/>
        <w:szCs w:val="32"/>
      </w:rPr>
      <w:drawing>
        <wp:anchor distT="0" distB="0" distL="114300" distR="114300" simplePos="0" relativeHeight="251661312" behindDoc="0" locked="0" layoutInCell="1" allowOverlap="1" wp14:anchorId="444C0D5F" wp14:editId="34A9C8C2">
          <wp:simplePos x="0" y="0"/>
          <wp:positionH relativeFrom="margin">
            <wp:posOffset>4352290</wp:posOffset>
          </wp:positionH>
          <wp:positionV relativeFrom="paragraph">
            <wp:posOffset>22225</wp:posOffset>
          </wp:positionV>
          <wp:extent cx="1455420" cy="572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 logo white b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5420" cy="572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62336" behindDoc="0" locked="0" layoutInCell="1" allowOverlap="1" wp14:anchorId="70878CBF" wp14:editId="1B2F662A">
          <wp:simplePos x="0" y="0"/>
          <wp:positionH relativeFrom="margin">
            <wp:posOffset>2828925</wp:posOffset>
          </wp:positionH>
          <wp:positionV relativeFrom="paragraph">
            <wp:posOffset>91440</wp:posOffset>
          </wp:positionV>
          <wp:extent cx="1174750" cy="47307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al-Logo-1-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174750" cy="473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64384" behindDoc="0" locked="0" layoutInCell="1" allowOverlap="1" wp14:anchorId="046F0698" wp14:editId="325CA493">
          <wp:simplePos x="0" y="0"/>
          <wp:positionH relativeFrom="page">
            <wp:posOffset>312420</wp:posOffset>
          </wp:positionH>
          <wp:positionV relativeFrom="paragraph">
            <wp:posOffset>220980</wp:posOffset>
          </wp:positionV>
          <wp:extent cx="1815436" cy="2260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C Logo Canva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5436" cy="226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06F5" w14:textId="77777777" w:rsidR="00537686" w:rsidRDefault="00537686" w:rsidP="00537686">
      <w:pPr>
        <w:spacing w:after="0" w:line="240" w:lineRule="auto"/>
      </w:pPr>
      <w:r>
        <w:separator/>
      </w:r>
    </w:p>
  </w:footnote>
  <w:footnote w:type="continuationSeparator" w:id="0">
    <w:p w14:paraId="273C7EBC" w14:textId="77777777" w:rsidR="00537686" w:rsidRDefault="00537686" w:rsidP="0053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031E" w14:textId="77777777" w:rsidR="005D6429" w:rsidRDefault="005D6429">
    <w:pPr>
      <w:pStyle w:val="Header"/>
    </w:pPr>
    <w:r>
      <w:rPr>
        <w:noProof/>
      </w:rPr>
      <w:drawing>
        <wp:anchor distT="0" distB="0" distL="114300" distR="114300" simplePos="0" relativeHeight="251659264" behindDoc="0" locked="0" layoutInCell="1" allowOverlap="1" wp14:anchorId="4A750BCD" wp14:editId="0752A732">
          <wp:simplePos x="0" y="0"/>
          <wp:positionH relativeFrom="margin">
            <wp:align>center</wp:align>
          </wp:positionH>
          <wp:positionV relativeFrom="margin">
            <wp:posOffset>-807720</wp:posOffset>
          </wp:positionV>
          <wp:extent cx="2094865"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_Meath_Logo_Larg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897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DB176B"/>
    <w:multiLevelType w:val="hybridMultilevel"/>
    <w:tmpl w:val="B2D7E3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A24609"/>
    <w:multiLevelType w:val="hybridMultilevel"/>
    <w:tmpl w:val="DD665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DC09"/>
    <w:multiLevelType w:val="hybridMultilevel"/>
    <w:tmpl w:val="8256E3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6CECF0"/>
    <w:multiLevelType w:val="hybridMultilevel"/>
    <w:tmpl w:val="92DBA9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D78DCE"/>
    <w:multiLevelType w:val="hybridMultilevel"/>
    <w:tmpl w:val="BC0F91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DFDF4E"/>
    <w:multiLevelType w:val="hybridMultilevel"/>
    <w:tmpl w:val="FEFCA0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54D27A"/>
    <w:multiLevelType w:val="hybridMultilevel"/>
    <w:tmpl w:val="784BEB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90CE8E"/>
    <w:multiLevelType w:val="hybridMultilevel"/>
    <w:tmpl w:val="FE3B4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5D03BF"/>
    <w:multiLevelType w:val="hybridMultilevel"/>
    <w:tmpl w:val="ADF2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1A5B8D"/>
    <w:multiLevelType w:val="hybridMultilevel"/>
    <w:tmpl w:val="D05E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643EB"/>
    <w:multiLevelType w:val="hybridMultilevel"/>
    <w:tmpl w:val="BE42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623D8"/>
    <w:multiLevelType w:val="hybridMultilevel"/>
    <w:tmpl w:val="CC86B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F64CC"/>
    <w:multiLevelType w:val="hybridMultilevel"/>
    <w:tmpl w:val="35C8A42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3514E4"/>
    <w:multiLevelType w:val="hybridMultilevel"/>
    <w:tmpl w:val="3D3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3DF6"/>
    <w:multiLevelType w:val="hybridMultilevel"/>
    <w:tmpl w:val="6CEC040E"/>
    <w:lvl w:ilvl="0" w:tplc="191CAFF2">
      <w:start w:val="1"/>
      <w:numFmt w:val="decimal"/>
      <w:lvlText w:val="%1."/>
      <w:lvlJc w:val="left"/>
      <w:pPr>
        <w:ind w:left="360" w:hanging="360"/>
      </w:pPr>
      <w:rPr>
        <w:rFonts w:hint="default"/>
        <w:b/>
        <w:color w:val="92D05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B5412D"/>
    <w:multiLevelType w:val="hybridMultilevel"/>
    <w:tmpl w:val="254C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EDEC"/>
    <w:multiLevelType w:val="hybridMultilevel"/>
    <w:tmpl w:val="EBB97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A15C08"/>
    <w:multiLevelType w:val="hybridMultilevel"/>
    <w:tmpl w:val="F628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70F64"/>
    <w:multiLevelType w:val="hybridMultilevel"/>
    <w:tmpl w:val="5392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32AF3"/>
    <w:multiLevelType w:val="hybridMultilevel"/>
    <w:tmpl w:val="B3BA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32D53"/>
    <w:multiLevelType w:val="hybridMultilevel"/>
    <w:tmpl w:val="22E8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A1B2E"/>
    <w:multiLevelType w:val="hybridMultilevel"/>
    <w:tmpl w:val="EEE0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96468"/>
    <w:multiLevelType w:val="hybridMultilevel"/>
    <w:tmpl w:val="90EE6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6F2B8E"/>
    <w:multiLevelType w:val="hybridMultilevel"/>
    <w:tmpl w:val="2994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C3944"/>
    <w:multiLevelType w:val="hybridMultilevel"/>
    <w:tmpl w:val="6DB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90CF3"/>
    <w:multiLevelType w:val="hybridMultilevel"/>
    <w:tmpl w:val="CCD8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F6EF6"/>
    <w:multiLevelType w:val="hybridMultilevel"/>
    <w:tmpl w:val="20F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33A8B"/>
    <w:multiLevelType w:val="hybridMultilevel"/>
    <w:tmpl w:val="3492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93431"/>
    <w:multiLevelType w:val="hybridMultilevel"/>
    <w:tmpl w:val="4F270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5"/>
  </w:num>
  <w:num w:numId="3">
    <w:abstractNumId w:val="14"/>
  </w:num>
  <w:num w:numId="4">
    <w:abstractNumId w:val="2"/>
  </w:num>
  <w:num w:numId="5">
    <w:abstractNumId w:val="20"/>
  </w:num>
  <w:num w:numId="6">
    <w:abstractNumId w:val="7"/>
  </w:num>
  <w:num w:numId="7">
    <w:abstractNumId w:val="16"/>
  </w:num>
  <w:num w:numId="8">
    <w:abstractNumId w:val="4"/>
  </w:num>
  <w:num w:numId="9">
    <w:abstractNumId w:val="0"/>
  </w:num>
  <w:num w:numId="10">
    <w:abstractNumId w:val="3"/>
  </w:num>
  <w:num w:numId="11">
    <w:abstractNumId w:val="22"/>
  </w:num>
  <w:num w:numId="12">
    <w:abstractNumId w:val="5"/>
  </w:num>
  <w:num w:numId="13">
    <w:abstractNumId w:val="1"/>
  </w:num>
  <w:num w:numId="14">
    <w:abstractNumId w:val="6"/>
  </w:num>
  <w:num w:numId="15">
    <w:abstractNumId w:val="28"/>
  </w:num>
  <w:num w:numId="16">
    <w:abstractNumId w:val="10"/>
  </w:num>
  <w:num w:numId="17">
    <w:abstractNumId w:val="26"/>
  </w:num>
  <w:num w:numId="18">
    <w:abstractNumId w:val="15"/>
  </w:num>
  <w:num w:numId="19">
    <w:abstractNumId w:val="13"/>
  </w:num>
  <w:num w:numId="20">
    <w:abstractNumId w:val="23"/>
  </w:num>
  <w:num w:numId="21">
    <w:abstractNumId w:val="19"/>
  </w:num>
  <w:num w:numId="22">
    <w:abstractNumId w:val="17"/>
  </w:num>
  <w:num w:numId="23">
    <w:abstractNumId w:val="24"/>
  </w:num>
  <w:num w:numId="24">
    <w:abstractNumId w:val="18"/>
  </w:num>
  <w:num w:numId="25">
    <w:abstractNumId w:val="8"/>
  </w:num>
  <w:num w:numId="26">
    <w:abstractNumId w:val="12"/>
  </w:num>
  <w:num w:numId="27">
    <w:abstractNumId w:val="11"/>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86"/>
    <w:rsid w:val="00065D8D"/>
    <w:rsid w:val="000C593A"/>
    <w:rsid w:val="000D6A54"/>
    <w:rsid w:val="001331D6"/>
    <w:rsid w:val="001B1E2D"/>
    <w:rsid w:val="00395942"/>
    <w:rsid w:val="00455733"/>
    <w:rsid w:val="0046148C"/>
    <w:rsid w:val="004A2D04"/>
    <w:rsid w:val="00537686"/>
    <w:rsid w:val="005B7ED6"/>
    <w:rsid w:val="005D6429"/>
    <w:rsid w:val="00694204"/>
    <w:rsid w:val="00701AA1"/>
    <w:rsid w:val="007A7CFC"/>
    <w:rsid w:val="008B001C"/>
    <w:rsid w:val="00944329"/>
    <w:rsid w:val="009A4D13"/>
    <w:rsid w:val="00BC1DD4"/>
    <w:rsid w:val="00BC525B"/>
    <w:rsid w:val="00D44AA5"/>
    <w:rsid w:val="00D71E30"/>
    <w:rsid w:val="00D77294"/>
    <w:rsid w:val="00E51BDF"/>
    <w:rsid w:val="00E6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DAAA5"/>
  <w15:chartTrackingRefBased/>
  <w15:docId w15:val="{9551F3E4-4B94-4438-B5BA-5DC7B5EC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86"/>
    <w:rPr>
      <w:rFonts w:ascii="Segoe UI" w:hAnsi="Segoe UI" w:cs="Segoe UI"/>
      <w:sz w:val="18"/>
      <w:szCs w:val="18"/>
      <w:lang w:val="en-IE"/>
    </w:rPr>
  </w:style>
  <w:style w:type="paragraph" w:styleId="Header">
    <w:name w:val="header"/>
    <w:basedOn w:val="Normal"/>
    <w:link w:val="HeaderChar"/>
    <w:uiPriority w:val="99"/>
    <w:unhideWhenUsed/>
    <w:rsid w:val="0053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86"/>
    <w:rPr>
      <w:lang w:val="en-IE"/>
    </w:rPr>
  </w:style>
  <w:style w:type="paragraph" w:styleId="Footer">
    <w:name w:val="footer"/>
    <w:basedOn w:val="Normal"/>
    <w:link w:val="FooterChar"/>
    <w:uiPriority w:val="99"/>
    <w:unhideWhenUsed/>
    <w:rsid w:val="0053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86"/>
    <w:rPr>
      <w:lang w:val="en-IE"/>
    </w:rPr>
  </w:style>
  <w:style w:type="character" w:styleId="Hyperlink">
    <w:name w:val="Hyperlink"/>
    <w:basedOn w:val="DefaultParagraphFont"/>
    <w:uiPriority w:val="99"/>
    <w:unhideWhenUsed/>
    <w:rsid w:val="00537686"/>
    <w:rPr>
      <w:color w:val="0563C1" w:themeColor="hyperlink"/>
      <w:u w:val="single"/>
    </w:rPr>
  </w:style>
  <w:style w:type="character" w:styleId="UnresolvedMention">
    <w:name w:val="Unresolved Mention"/>
    <w:basedOn w:val="DefaultParagraphFont"/>
    <w:uiPriority w:val="99"/>
    <w:semiHidden/>
    <w:unhideWhenUsed/>
    <w:rsid w:val="00537686"/>
    <w:rPr>
      <w:color w:val="605E5C"/>
      <w:shd w:val="clear" w:color="auto" w:fill="E1DFDD"/>
    </w:rPr>
  </w:style>
  <w:style w:type="paragraph" w:customStyle="1" w:styleId="Default">
    <w:name w:val="Default"/>
    <w:rsid w:val="000D6A5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525B"/>
    <w:rPr>
      <w:sz w:val="16"/>
      <w:szCs w:val="16"/>
    </w:rPr>
  </w:style>
  <w:style w:type="paragraph" w:styleId="CommentText">
    <w:name w:val="annotation text"/>
    <w:basedOn w:val="Normal"/>
    <w:link w:val="CommentTextChar"/>
    <w:uiPriority w:val="99"/>
    <w:semiHidden/>
    <w:unhideWhenUsed/>
    <w:rsid w:val="00BC525B"/>
    <w:pPr>
      <w:spacing w:line="240" w:lineRule="auto"/>
    </w:pPr>
    <w:rPr>
      <w:sz w:val="20"/>
      <w:szCs w:val="20"/>
    </w:rPr>
  </w:style>
  <w:style w:type="character" w:customStyle="1" w:styleId="CommentTextChar">
    <w:name w:val="Comment Text Char"/>
    <w:basedOn w:val="DefaultParagraphFont"/>
    <w:link w:val="CommentText"/>
    <w:uiPriority w:val="99"/>
    <w:semiHidden/>
    <w:rsid w:val="00BC525B"/>
    <w:rPr>
      <w:sz w:val="20"/>
      <w:szCs w:val="20"/>
      <w:lang w:val="en-IE"/>
    </w:rPr>
  </w:style>
  <w:style w:type="paragraph" w:styleId="CommentSubject">
    <w:name w:val="annotation subject"/>
    <w:basedOn w:val="CommentText"/>
    <w:next w:val="CommentText"/>
    <w:link w:val="CommentSubjectChar"/>
    <w:uiPriority w:val="99"/>
    <w:semiHidden/>
    <w:unhideWhenUsed/>
    <w:rsid w:val="00BC525B"/>
    <w:rPr>
      <w:b/>
      <w:bCs/>
    </w:rPr>
  </w:style>
  <w:style w:type="character" w:customStyle="1" w:styleId="CommentSubjectChar">
    <w:name w:val="Comment Subject Char"/>
    <w:basedOn w:val="CommentTextChar"/>
    <w:link w:val="CommentSubject"/>
    <w:uiPriority w:val="99"/>
    <w:semiHidden/>
    <w:rsid w:val="00BC525B"/>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t.link/2z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mit.link/2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lthymeath@meathcoco.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O'Donnell</dc:creator>
  <cp:keywords/>
  <dc:description/>
  <cp:lastModifiedBy>Aisling O'Donnell</cp:lastModifiedBy>
  <cp:revision>14</cp:revision>
  <cp:lastPrinted>2024-04-02T08:48:00Z</cp:lastPrinted>
  <dcterms:created xsi:type="dcterms:W3CDTF">2024-02-15T14:45:00Z</dcterms:created>
  <dcterms:modified xsi:type="dcterms:W3CDTF">2024-04-08T09:33:00Z</dcterms:modified>
</cp:coreProperties>
</file>